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04" w:rsidRDefault="00344904" w:rsidP="00AD76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НАРОДНЫХ ДЕПУТАТОВ 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ГОРОДСКОГО  ПОСЕЛЕНИЯ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 МУНИЦИПАЛЬНОГО РАЙОНА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E00475" w:rsidRPr="00AA4678" w:rsidRDefault="00E00475" w:rsidP="00AA4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04" w:rsidRDefault="00344904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9C4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 октября 2017 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года</w:t>
      </w:r>
      <w:r w:rsidR="00A8250B"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9C4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195</w:t>
      </w:r>
      <w:r w:rsidR="00AC35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04" w:rsidRDefault="00344904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04" w:rsidRDefault="00E00475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Default="00E00475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нал</w:t>
      </w:r>
      <w:r w:rsidR="00AC355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оге на имущество физических лиц</w:t>
      </w:r>
    </w:p>
    <w:p w:rsidR="00E00475" w:rsidRPr="00AA4678" w:rsidRDefault="00AC355C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807AA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E00475" w:rsidRPr="00AA4678" w:rsidRDefault="00E00475" w:rsidP="003449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Федеральным законом от 0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принятого  26.09.2014 года Государственной Думой и закона Воронежской области от 19.06.2015 года № 105-ОЗ «Об установлении единой даты начала применения на территории Воронежской области порядка определения налоговой базы по налогу на имущество физических лиц исходя из кадастровой стоимо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объектов налогообложения»,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принятого 18.06.2015 года областной Думой, Совет народных депутатов Подгоренского городского поселения Подгоренского муниципального района Воронежской области </w:t>
      </w: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решил: </w:t>
      </w: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Ввести на территории Подгоренского городского поселения Подгоренского муниципального района Воронежской области с  01 января 201</w:t>
      </w:r>
      <w:r w:rsidR="00AC35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 на имущество физических лиц.</w:t>
      </w: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ставки налога на имущество физических лиц (жилые дома, квартиры, комнаты, гаражи, </w:t>
      </w:r>
      <w:proofErr w:type="spellStart"/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-место, единый недвижимый комплекс, объект незавершенного строительства, иные здания, строения, сооружения</w:t>
      </w:r>
      <w:r w:rsidR="0095313A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помещения) в зависимости от кадастровой стоимости объектов налогообложения (с учетом доли налогоплательщика в праве общей собственности на каждый из таких объектов) согласно приложению.</w:t>
      </w:r>
    </w:p>
    <w:p w:rsidR="0095313A" w:rsidRPr="00AA4678" w:rsidRDefault="0095313A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774F2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налоговую льготу имеют категории налогоплательщиков, определённые статьёй 407 главы 32 Налогового кодекса Российской Федерации.</w:t>
      </w:r>
    </w:p>
    <w:p w:rsidR="0095313A" w:rsidRPr="00AA4678" w:rsidRDefault="0095313A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AC3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100 % г</w:t>
      </w:r>
      <w:r w:rsidR="00AA46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раждане,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звание «</w:t>
      </w:r>
      <w:r w:rsidR="00C4158E" w:rsidRPr="00AA4678">
        <w:rPr>
          <w:rFonts w:ascii="Times New Roman" w:hAnsi="Times New Roman" w:cs="Times New Roman"/>
          <w:sz w:val="24"/>
          <w:szCs w:val="24"/>
        </w:rPr>
        <w:t>Почетный житель Подгоренского городского поселения"</w:t>
      </w:r>
      <w:r w:rsidR="003E40F7" w:rsidRPr="00AA4678">
        <w:rPr>
          <w:rFonts w:ascii="Times New Roman" w:hAnsi="Times New Roman" w:cs="Times New Roman"/>
          <w:sz w:val="24"/>
          <w:szCs w:val="24"/>
        </w:rPr>
        <w:t>.</w:t>
      </w:r>
    </w:p>
    <w:p w:rsidR="0095313A" w:rsidRPr="00AA4678" w:rsidRDefault="0095313A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868981"/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100% г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раждане,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награжденны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E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высшим знаком отличия Подгоренского  городского поселени</w:t>
      </w:r>
      <w:bookmarkEnd w:id="0"/>
      <w:r w:rsidR="00A46E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Подгоренского муниципального района Воронежской области «Благодарность земли </w:t>
      </w:r>
      <w:proofErr w:type="spellStart"/>
      <w:r w:rsidR="00DF7D3D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Подгоренской</w:t>
      </w:r>
      <w:proofErr w:type="spellEnd"/>
      <w:r w:rsidR="00A46E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E78" w:rsidRDefault="00AC355C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100% члены многодетных семей, в которых три и более ребенка в возрасте до 18 лет.</w:t>
      </w:r>
    </w:p>
    <w:p w:rsidR="00AC355C" w:rsidRDefault="00AC355C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размере 100% дети-сироты в возрасте до 18 лет.</w:t>
      </w:r>
    </w:p>
    <w:p w:rsidR="00AC355C" w:rsidRDefault="00AC355C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размере 100% дети, оставшиеся без попечения родителей, в возрасте до 18 лет.</w:t>
      </w:r>
    </w:p>
    <w:p w:rsidR="0083056D" w:rsidRDefault="00AD76AB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8305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100%  одинокие матери и их дети в возрасте до 18 лет.</w:t>
      </w:r>
    </w:p>
    <w:p w:rsidR="00422F2B" w:rsidRPr="00AA4678" w:rsidRDefault="00A46E78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решение Совета народных депутатов Подгоренского городского поселения Подгоренского муниципального района Воронежской области </w:t>
      </w:r>
    </w:p>
    <w:p w:rsidR="00A46E78" w:rsidRPr="00AA4678" w:rsidRDefault="00A46E78" w:rsidP="00AB7F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30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F7CF1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56D">
        <w:rPr>
          <w:rFonts w:ascii="Times New Roman" w:eastAsia="Times New Roman" w:hAnsi="Times New Roman" w:cs="Times New Roman"/>
          <w:sz w:val="24"/>
          <w:szCs w:val="24"/>
          <w:lang w:eastAsia="ru-RU"/>
        </w:rPr>
        <w:t>8 ноября</w:t>
      </w:r>
      <w:r w:rsidR="000F7CF1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305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46E78" w:rsidRPr="00AA4678" w:rsidRDefault="00A46E78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50B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 вступает в силу с 01 января 201</w:t>
      </w:r>
      <w:r w:rsidR="00AB7F6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E00475" w:rsidRPr="00AA4678" w:rsidRDefault="00A46E78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00475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475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 настоящее решение в установленном порядке.</w:t>
      </w:r>
    </w:p>
    <w:p w:rsidR="00E00475" w:rsidRPr="00AA4678" w:rsidRDefault="00E00475" w:rsidP="00AB7F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Pr="00AA4678" w:rsidRDefault="00422F2B" w:rsidP="00AB7F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Pr="00AA4678" w:rsidRDefault="00E00475" w:rsidP="00AB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E00475" w:rsidRPr="00AA4678" w:rsidRDefault="00E00475" w:rsidP="00AB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А.А. Леонов</w:t>
      </w:r>
    </w:p>
    <w:p w:rsidR="00D7335F" w:rsidRPr="00AA4678" w:rsidRDefault="00D7335F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D7335F" w:rsidRDefault="00D7335F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9C4B62" w:rsidRPr="00E6438A" w:rsidRDefault="00AB7F63" w:rsidP="00750D1B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lastRenderedPageBreak/>
        <w:t xml:space="preserve">                                                                         </w:t>
      </w:r>
      <w:r w:rsidR="00334CD8" w:rsidRPr="00E6438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335F" w:rsidRPr="00E6438A">
        <w:rPr>
          <w:rFonts w:ascii="Times New Roman" w:hAnsi="Times New Roman" w:cs="Times New Roman"/>
          <w:sz w:val="24"/>
          <w:szCs w:val="24"/>
        </w:rPr>
        <w:t xml:space="preserve">№ 1 </w:t>
      </w:r>
    </w:p>
    <w:p w:rsidR="00334CD8" w:rsidRPr="00E6438A" w:rsidRDefault="00334CD8" w:rsidP="00750D1B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438A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C4B62" w:rsidRPr="00E6438A" w:rsidRDefault="00126F5B" w:rsidP="00750D1B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438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 w:rsidR="00334CD8" w:rsidRPr="00E6438A"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</w:p>
    <w:p w:rsidR="00334CD8" w:rsidRPr="00E6438A" w:rsidRDefault="00334CD8" w:rsidP="00750D1B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438A">
        <w:rPr>
          <w:rFonts w:ascii="Times New Roman" w:hAnsi="Times New Roman" w:cs="Times New Roman"/>
          <w:sz w:val="24"/>
          <w:szCs w:val="24"/>
        </w:rPr>
        <w:t>от</w:t>
      </w:r>
      <w:r w:rsidR="009C4B62" w:rsidRPr="00E6438A">
        <w:rPr>
          <w:rFonts w:ascii="Times New Roman" w:hAnsi="Times New Roman" w:cs="Times New Roman"/>
          <w:sz w:val="24"/>
          <w:szCs w:val="24"/>
        </w:rPr>
        <w:t xml:space="preserve"> 20.10.2017</w:t>
      </w:r>
      <w:r w:rsidR="0083056D" w:rsidRPr="00E6438A">
        <w:rPr>
          <w:rFonts w:ascii="Times New Roman" w:hAnsi="Times New Roman" w:cs="Times New Roman"/>
          <w:sz w:val="24"/>
          <w:szCs w:val="24"/>
        </w:rPr>
        <w:t xml:space="preserve">   </w:t>
      </w:r>
      <w:r w:rsidRPr="00E6438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9C4B62" w:rsidRPr="00E6438A">
        <w:rPr>
          <w:rFonts w:ascii="Times New Roman" w:hAnsi="Times New Roman" w:cs="Times New Roman"/>
          <w:sz w:val="24"/>
          <w:szCs w:val="24"/>
        </w:rPr>
        <w:t>195</w:t>
      </w:r>
    </w:p>
    <w:p w:rsidR="00334CD8" w:rsidRDefault="00334CD8" w:rsidP="00AA4678">
      <w:pPr>
        <w:spacing w:line="240" w:lineRule="auto"/>
        <w:rPr>
          <w:rFonts w:ascii="Times New Roman" w:hAnsi="Times New Roman" w:cs="Times New Roman"/>
        </w:rPr>
      </w:pPr>
    </w:p>
    <w:p w:rsidR="00AB7F63" w:rsidRPr="00E6438A" w:rsidRDefault="00AB7F63" w:rsidP="00AB7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438A">
        <w:rPr>
          <w:rFonts w:ascii="Times New Roman" w:eastAsia="Calibri" w:hAnsi="Times New Roman" w:cs="Times New Roman"/>
          <w:b/>
          <w:bCs/>
          <w:sz w:val="24"/>
          <w:szCs w:val="24"/>
        </w:rPr>
        <w:t>СТАВКИ НАЛОГА НА ИМУЩЕСТВО ФИЗИЧЕСКИХ ЛИЦ</w:t>
      </w:r>
    </w:p>
    <w:tbl>
      <w:tblPr>
        <w:tblpPr w:leftFromText="180" w:rightFromText="180" w:vertAnchor="text" w:horzAnchor="margin" w:tblpXSpec="center" w:tblpY="19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560"/>
      </w:tblGrid>
      <w:tr w:rsidR="00AB7F63" w:rsidRPr="00E6438A" w:rsidTr="00AB7F63">
        <w:tc>
          <w:tcPr>
            <w:tcW w:w="675" w:type="dxa"/>
            <w:shd w:val="clear" w:color="auto" w:fill="auto"/>
          </w:tcPr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налогообложения</w:t>
            </w:r>
          </w:p>
        </w:tc>
        <w:tc>
          <w:tcPr>
            <w:tcW w:w="1560" w:type="dxa"/>
            <w:shd w:val="clear" w:color="auto" w:fill="auto"/>
          </w:tcPr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%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 помещение (квартира)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 помещение (комната)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строительства, в случае если проектируемым назначением таких объектов является жилой дом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недвижимый комплекс, в состав которого входит хотя бы одно жилое помещение (жилой дом)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Гараж, </w:t>
            </w:r>
            <w:proofErr w:type="spellStart"/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</w:t>
            </w:r>
            <w:r w:rsidR="0075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строения и сооружения, площадь каждого из которых не превышает 50 кв.м.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Объекты, включенные в перечень, определяемый в соответствии с пунктом 7 статьи 378.2 НК РФ, объекты предусмотренные абзацем 2 пункта 10 статьи 378.2 НК РФ, объекты, кадастровая стоимость каждого из которых превышает 300 миллионов рублей</w:t>
            </w:r>
          </w:p>
          <w:p w:rsidR="00750D1B" w:rsidRPr="00E6438A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7F63" w:rsidRPr="00E6438A" w:rsidTr="00AB7F63">
        <w:tc>
          <w:tcPr>
            <w:tcW w:w="675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38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Pr="00E6438A" w:rsidRDefault="00AB7F63" w:rsidP="00AB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объекты</w:t>
            </w:r>
          </w:p>
        </w:tc>
        <w:tc>
          <w:tcPr>
            <w:tcW w:w="1560" w:type="dxa"/>
            <w:shd w:val="clear" w:color="auto" w:fill="auto"/>
          </w:tcPr>
          <w:p w:rsidR="00750D1B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F63" w:rsidRDefault="00AB7F63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750D1B" w:rsidRPr="00E6438A" w:rsidRDefault="00750D1B" w:rsidP="00AB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CF1" w:rsidRDefault="000F7CF1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Default="00A041FC" w:rsidP="00AA4678">
      <w:pPr>
        <w:spacing w:line="240" w:lineRule="auto"/>
        <w:rPr>
          <w:rFonts w:ascii="Times New Roman" w:hAnsi="Times New Roman" w:cs="Times New Roman"/>
        </w:rPr>
      </w:pPr>
    </w:p>
    <w:p w:rsidR="00A041FC" w:rsidRPr="00AA4678" w:rsidRDefault="00A041FC" w:rsidP="00AA4678">
      <w:pPr>
        <w:spacing w:line="240" w:lineRule="auto"/>
        <w:rPr>
          <w:rFonts w:ascii="Times New Roman" w:hAnsi="Times New Roman" w:cs="Times New Roman"/>
        </w:rPr>
      </w:pPr>
    </w:p>
    <w:sectPr w:rsidR="00A041FC" w:rsidRPr="00AA4678" w:rsidSect="00344904">
      <w:footerReference w:type="default" r:id="rId8"/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42" w:rsidRDefault="00702B42" w:rsidP="00A8250B">
      <w:pPr>
        <w:spacing w:after="0" w:line="240" w:lineRule="auto"/>
      </w:pPr>
      <w:r>
        <w:separator/>
      </w:r>
    </w:p>
  </w:endnote>
  <w:endnote w:type="continuationSeparator" w:id="0">
    <w:p w:rsidR="00702B42" w:rsidRDefault="00702B42" w:rsidP="00A8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0B" w:rsidRDefault="00A8250B">
    <w:pPr>
      <w:pStyle w:val="a8"/>
      <w:jc w:val="center"/>
    </w:pPr>
  </w:p>
  <w:p w:rsidR="00A8250B" w:rsidRDefault="00A825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42" w:rsidRDefault="00702B42" w:rsidP="00A8250B">
      <w:pPr>
        <w:spacing w:after="0" w:line="240" w:lineRule="auto"/>
      </w:pPr>
      <w:r>
        <w:separator/>
      </w:r>
    </w:p>
  </w:footnote>
  <w:footnote w:type="continuationSeparator" w:id="0">
    <w:p w:rsidR="00702B42" w:rsidRDefault="00702B42" w:rsidP="00A82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75"/>
    <w:rsid w:val="000774F2"/>
    <w:rsid w:val="000B642A"/>
    <w:rsid w:val="000F7CF1"/>
    <w:rsid w:val="00125570"/>
    <w:rsid w:val="00126F5B"/>
    <w:rsid w:val="001953A0"/>
    <w:rsid w:val="00334CD8"/>
    <w:rsid w:val="00344904"/>
    <w:rsid w:val="003E40F7"/>
    <w:rsid w:val="00422F2B"/>
    <w:rsid w:val="004262FA"/>
    <w:rsid w:val="00437B48"/>
    <w:rsid w:val="00702B42"/>
    <w:rsid w:val="00750D1B"/>
    <w:rsid w:val="00807AA6"/>
    <w:rsid w:val="0083056D"/>
    <w:rsid w:val="008B1F8F"/>
    <w:rsid w:val="00950E9E"/>
    <w:rsid w:val="0095313A"/>
    <w:rsid w:val="009C4B62"/>
    <w:rsid w:val="00A041FC"/>
    <w:rsid w:val="00A46E78"/>
    <w:rsid w:val="00A8250B"/>
    <w:rsid w:val="00AA4678"/>
    <w:rsid w:val="00AB7F63"/>
    <w:rsid w:val="00AC355C"/>
    <w:rsid w:val="00AD76AB"/>
    <w:rsid w:val="00C4158E"/>
    <w:rsid w:val="00C738AA"/>
    <w:rsid w:val="00D11A1A"/>
    <w:rsid w:val="00D6728C"/>
    <w:rsid w:val="00D7335F"/>
    <w:rsid w:val="00DF7D3D"/>
    <w:rsid w:val="00E00475"/>
    <w:rsid w:val="00E03AFB"/>
    <w:rsid w:val="00E43F6C"/>
    <w:rsid w:val="00E6438A"/>
    <w:rsid w:val="00F81492"/>
    <w:rsid w:val="00F8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  <w:style w:type="table" w:styleId="a4">
    <w:name w:val="Table Grid"/>
    <w:basedOn w:val="a1"/>
    <w:uiPriority w:val="59"/>
    <w:rsid w:val="000F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CF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250B"/>
  </w:style>
  <w:style w:type="paragraph" w:styleId="a8">
    <w:name w:val="footer"/>
    <w:basedOn w:val="a"/>
    <w:link w:val="a9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250B"/>
  </w:style>
  <w:style w:type="paragraph" w:styleId="aa">
    <w:name w:val="Balloon Text"/>
    <w:basedOn w:val="a"/>
    <w:link w:val="ab"/>
    <w:uiPriority w:val="99"/>
    <w:semiHidden/>
    <w:unhideWhenUsed/>
    <w:rsid w:val="00A8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  <w:style w:type="table" w:styleId="a4">
    <w:name w:val="Table Grid"/>
    <w:basedOn w:val="a1"/>
    <w:uiPriority w:val="59"/>
    <w:rsid w:val="000F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CF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250B"/>
  </w:style>
  <w:style w:type="paragraph" w:styleId="a8">
    <w:name w:val="footer"/>
    <w:basedOn w:val="a"/>
    <w:link w:val="a9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250B"/>
  </w:style>
  <w:style w:type="paragraph" w:styleId="aa">
    <w:name w:val="Balloon Text"/>
    <w:basedOn w:val="a"/>
    <w:link w:val="ab"/>
    <w:uiPriority w:val="99"/>
    <w:semiHidden/>
    <w:unhideWhenUsed/>
    <w:rsid w:val="00A8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2B74-F049-4F0D-B2AE-BC66357D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 А. Лиморов</cp:lastModifiedBy>
  <cp:revision>27</cp:revision>
  <cp:lastPrinted>2015-11-10T05:26:00Z</cp:lastPrinted>
  <dcterms:created xsi:type="dcterms:W3CDTF">2015-10-12T09:07:00Z</dcterms:created>
  <dcterms:modified xsi:type="dcterms:W3CDTF">2017-10-23T06:20:00Z</dcterms:modified>
</cp:coreProperties>
</file>