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04" w:rsidRDefault="00344904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НАРОДНЫХ ДЕПУТАТОВ </w:t>
      </w: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ГОРОДСКОГО  ПОСЕЛЕНИЯ</w:t>
      </w: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 МУНИЦИПАЛЬНОГО РАЙОНА</w:t>
      </w: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E00475" w:rsidRPr="00AA4678" w:rsidRDefault="00E00475" w:rsidP="00AA4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E00475" w:rsidRPr="00AA4678" w:rsidRDefault="00E00475" w:rsidP="00AA46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04" w:rsidRDefault="00344904" w:rsidP="00AA4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00475" w:rsidRPr="00AA4678" w:rsidRDefault="00E00475" w:rsidP="00AA4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</w:t>
      </w:r>
      <w:r w:rsidR="003449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11 </w:t>
      </w:r>
      <w:r w:rsidR="00A8250B"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814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ноября</w:t>
      </w:r>
      <w:r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2015 года</w:t>
      </w:r>
      <w:r w:rsidR="00A8250B"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34490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25</w:t>
      </w:r>
      <w:r w:rsidRPr="00AA46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E00475" w:rsidRPr="00AA4678" w:rsidRDefault="00E00475" w:rsidP="00AA46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E00475" w:rsidRPr="00AA4678" w:rsidRDefault="00E00475" w:rsidP="00AA46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04" w:rsidRDefault="00344904" w:rsidP="00AA4678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904" w:rsidRDefault="00E00475" w:rsidP="00AA4678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475" w:rsidRPr="00AA4678" w:rsidRDefault="00E00475" w:rsidP="00AA4678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налоге на имущество физических лиц.</w:t>
      </w:r>
    </w:p>
    <w:p w:rsidR="00E00475" w:rsidRPr="00AA4678" w:rsidRDefault="00E00475" w:rsidP="00AA4678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75" w:rsidRPr="00AA4678" w:rsidRDefault="00E00475" w:rsidP="0034490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475" w:rsidRPr="00AA4678" w:rsidRDefault="00E00475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Федеральным законом от 0</w:t>
      </w:r>
      <w:r w:rsidR="00D7335F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D7335F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принятого  26.09.2014 года Государственной Думой и закона Воронежской области от 19.06.2015 года № 105-ОЗ «Об установлении единой даты начала применения на территории Воронежской области порядка определения налоговой базы по налогу на имущество физических лиц исходя из кадастровой стоимо</w:t>
      </w:r>
      <w:r w:rsidR="00D7335F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объектов налогообложения», 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принятого 18.06.2015 года областной Думой, Совет народных депутатов Подгоренского городского поселения Подгоренского муниципального района Воронежской области </w:t>
      </w:r>
      <w:r w:rsidRPr="00AA4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решил: </w:t>
      </w:r>
    </w:p>
    <w:p w:rsidR="00E00475" w:rsidRPr="00AA4678" w:rsidRDefault="00E00475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Ввести на территории Подгоренского городского поселения Подгоренского муниципального района Воронежской области с  01 января 2016 года налог на имущество физических лиц.</w:t>
      </w:r>
    </w:p>
    <w:p w:rsidR="00E00475" w:rsidRPr="00AA4678" w:rsidRDefault="00E00475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ставки налога на имущество физических лиц (жилые дома, квартиры, комнаты, гаражи, машино-место, единый недвижимый комплекс, объект незавершенного строительства, иные здания, строения, сооружения</w:t>
      </w:r>
      <w:r w:rsidR="0095313A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помещения) в зависимости от кадастровой стоимости объектов налогообложения (с учетом доли налогоплательщика в праве общей собственности на каждый из таких объектов) согласно приложению.</w:t>
      </w:r>
    </w:p>
    <w:p w:rsidR="0095313A" w:rsidRPr="00AA4678" w:rsidRDefault="0095313A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0774F2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налоговую льготу имеют категории налогоплательщиков, определённые статьёй 407 главы 32 Налогового кодекса Российской Федерации.</w:t>
      </w:r>
    </w:p>
    <w:p w:rsidR="0095313A" w:rsidRPr="00AA4678" w:rsidRDefault="0095313A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AA4678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Граждане,</w:t>
      </w:r>
      <w:r w:rsidR="003E40F7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</w:t>
      </w:r>
      <w:r w:rsidR="00C4158E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звание «</w:t>
      </w:r>
      <w:r w:rsidR="00C4158E" w:rsidRPr="00AA4678">
        <w:rPr>
          <w:rFonts w:ascii="Times New Roman" w:hAnsi="Times New Roman" w:cs="Times New Roman"/>
          <w:sz w:val="24"/>
          <w:szCs w:val="24"/>
        </w:rPr>
        <w:t>Почетный житель Подгоренского городского поселения"</w:t>
      </w:r>
      <w:r w:rsidR="003E40F7" w:rsidRPr="00AA4678">
        <w:rPr>
          <w:rFonts w:ascii="Times New Roman" w:hAnsi="Times New Roman" w:cs="Times New Roman"/>
          <w:sz w:val="24"/>
          <w:szCs w:val="24"/>
        </w:rPr>
        <w:t>.</w:t>
      </w:r>
    </w:p>
    <w:p w:rsidR="0095313A" w:rsidRPr="00AA4678" w:rsidRDefault="0095313A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</w:t>
      </w:r>
      <w:r w:rsidR="00C4158E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40F7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Граждане,</w:t>
      </w:r>
      <w:r w:rsidR="00C4158E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награжденны</w:t>
      </w:r>
      <w:r w:rsidR="003E40F7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4158E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E78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высшим знаком отличия Подгоренского  городского поселения Подгоренского муниципального района Воронежской области «Благодарность земли </w:t>
      </w:r>
      <w:r w:rsidR="00DF7D3D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Подгоренской</w:t>
      </w:r>
      <w:r w:rsidR="00A46E78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E40F7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E78" w:rsidRPr="00AA4678" w:rsidRDefault="00A46E78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F2B" w:rsidRPr="00AA4678" w:rsidRDefault="00A46E78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44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 решение Совета народных депутатов Подгоренского городского поселения Подгоренского муниципаль</w:t>
      </w:r>
      <w:bookmarkStart w:id="0" w:name="_GoBack"/>
      <w:bookmarkEnd w:id="0"/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района Воронежской области </w:t>
      </w:r>
    </w:p>
    <w:p w:rsidR="00A46E78" w:rsidRPr="00AA4678" w:rsidRDefault="00A46E78" w:rsidP="0034490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262FA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22F2B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0F7CF1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октября 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F7CF1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46E78" w:rsidRPr="00AA4678" w:rsidRDefault="00A46E78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344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50B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астоящее решение вступает в силу с 01 января 2016 года, но не ранее чем по истечении одного месяца со дня его официального опубликования.</w:t>
      </w:r>
    </w:p>
    <w:p w:rsidR="00E00475" w:rsidRPr="00AA4678" w:rsidRDefault="00A46E78" w:rsidP="0034490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00475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44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475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 настоящее решение в установленном порядке.</w:t>
      </w:r>
    </w:p>
    <w:p w:rsidR="00E00475" w:rsidRPr="00AA4678" w:rsidRDefault="00E00475" w:rsidP="00837AC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2F2B" w:rsidRPr="00AA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35F" w:rsidRPr="00AA4678" w:rsidRDefault="00837AC4" w:rsidP="00AA4678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26455" cy="16732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35F" w:rsidRDefault="00D7335F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44904" w:rsidRPr="00AA4678" w:rsidRDefault="00344904" w:rsidP="00AA4678">
      <w:pPr>
        <w:spacing w:line="240" w:lineRule="auto"/>
        <w:jc w:val="right"/>
        <w:rPr>
          <w:rFonts w:ascii="Times New Roman" w:hAnsi="Times New Roman" w:cs="Times New Roman"/>
        </w:rPr>
      </w:pPr>
    </w:p>
    <w:p w:rsidR="00334CD8" w:rsidRPr="00AA4678" w:rsidRDefault="00334CD8" w:rsidP="00AA4678">
      <w:pPr>
        <w:spacing w:line="240" w:lineRule="auto"/>
        <w:jc w:val="right"/>
        <w:rPr>
          <w:rFonts w:ascii="Times New Roman" w:hAnsi="Times New Roman" w:cs="Times New Roman"/>
        </w:rPr>
      </w:pPr>
      <w:r w:rsidRPr="00AA4678">
        <w:rPr>
          <w:rFonts w:ascii="Times New Roman" w:hAnsi="Times New Roman" w:cs="Times New Roman"/>
        </w:rPr>
        <w:t xml:space="preserve">Приложение </w:t>
      </w:r>
      <w:r w:rsidR="00D7335F" w:rsidRPr="00AA4678">
        <w:rPr>
          <w:rFonts w:ascii="Times New Roman" w:hAnsi="Times New Roman" w:cs="Times New Roman"/>
        </w:rPr>
        <w:t xml:space="preserve">№ 1 </w:t>
      </w:r>
      <w:r w:rsidRPr="00AA4678">
        <w:rPr>
          <w:rFonts w:ascii="Times New Roman" w:hAnsi="Times New Roman" w:cs="Times New Roman"/>
        </w:rPr>
        <w:t xml:space="preserve">к решению Совета </w:t>
      </w:r>
    </w:p>
    <w:p w:rsidR="00334CD8" w:rsidRPr="00AA4678" w:rsidRDefault="00334CD8" w:rsidP="00AA4678">
      <w:pPr>
        <w:spacing w:line="240" w:lineRule="auto"/>
        <w:jc w:val="right"/>
        <w:rPr>
          <w:rFonts w:ascii="Times New Roman" w:hAnsi="Times New Roman" w:cs="Times New Roman"/>
        </w:rPr>
      </w:pPr>
      <w:r w:rsidRPr="00AA4678">
        <w:rPr>
          <w:rFonts w:ascii="Times New Roman" w:hAnsi="Times New Roman" w:cs="Times New Roman"/>
        </w:rPr>
        <w:t>народных депутатов от</w:t>
      </w:r>
      <w:r w:rsidR="00344904">
        <w:rPr>
          <w:rFonts w:ascii="Times New Roman" w:hAnsi="Times New Roman" w:cs="Times New Roman"/>
        </w:rPr>
        <w:t xml:space="preserve"> 11</w:t>
      </w:r>
      <w:r w:rsidR="000F7CF1" w:rsidRPr="00AA4678">
        <w:rPr>
          <w:rFonts w:ascii="Times New Roman" w:hAnsi="Times New Roman" w:cs="Times New Roman"/>
        </w:rPr>
        <w:t xml:space="preserve">  </w:t>
      </w:r>
      <w:r w:rsidR="00F81492">
        <w:rPr>
          <w:rFonts w:ascii="Times New Roman" w:hAnsi="Times New Roman" w:cs="Times New Roman"/>
        </w:rPr>
        <w:t>ноября</w:t>
      </w:r>
      <w:r w:rsidRPr="00AA4678">
        <w:rPr>
          <w:rFonts w:ascii="Times New Roman" w:hAnsi="Times New Roman" w:cs="Times New Roman"/>
        </w:rPr>
        <w:t xml:space="preserve"> 2015 года № </w:t>
      </w:r>
      <w:r w:rsidR="00344904">
        <w:rPr>
          <w:rFonts w:ascii="Times New Roman" w:hAnsi="Times New Roman" w:cs="Times New Roman"/>
        </w:rPr>
        <w:t>25</w:t>
      </w:r>
    </w:p>
    <w:p w:rsidR="00334CD8" w:rsidRPr="00AA4678" w:rsidRDefault="00334CD8" w:rsidP="00AA4678">
      <w:pPr>
        <w:spacing w:line="240" w:lineRule="auto"/>
        <w:rPr>
          <w:rFonts w:ascii="Times New Roman" w:hAnsi="Times New Roman" w:cs="Times New Roman"/>
        </w:rPr>
      </w:pPr>
    </w:p>
    <w:p w:rsidR="000F7CF1" w:rsidRPr="00AA4678" w:rsidRDefault="000F7CF1" w:rsidP="00AA4678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F7CF1" w:rsidRPr="00AA4678" w:rsidTr="000F7CF1">
        <w:tc>
          <w:tcPr>
            <w:tcW w:w="4785" w:type="dxa"/>
          </w:tcPr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b/>
                <w:sz w:val="24"/>
                <w:szCs w:val="24"/>
              </w:rPr>
              <w:t>Объект налогообложения</w:t>
            </w:r>
          </w:p>
        </w:tc>
        <w:tc>
          <w:tcPr>
            <w:tcW w:w="4786" w:type="dxa"/>
          </w:tcPr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b/>
                <w:sz w:val="24"/>
                <w:szCs w:val="24"/>
              </w:rPr>
              <w:t>Ставка налога</w:t>
            </w: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F7CF1" w:rsidRPr="00AA4678" w:rsidTr="000F7CF1">
        <w:tc>
          <w:tcPr>
            <w:tcW w:w="4785" w:type="dxa"/>
          </w:tcPr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F7CF1" w:rsidRPr="00AA4678" w:rsidTr="000F7CF1">
        <w:tc>
          <w:tcPr>
            <w:tcW w:w="4785" w:type="dxa"/>
          </w:tcPr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F7CF1" w:rsidRPr="00AA4678" w:rsidTr="000F7CF1">
        <w:tc>
          <w:tcPr>
            <w:tcW w:w="4785" w:type="dxa"/>
          </w:tcPr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7CF1" w:rsidRPr="00AA4678" w:rsidTr="000F7CF1">
        <w:tc>
          <w:tcPr>
            <w:tcW w:w="4785" w:type="dxa"/>
          </w:tcPr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F7CF1" w:rsidRPr="00AA4678" w:rsidTr="000F7CF1">
        <w:tc>
          <w:tcPr>
            <w:tcW w:w="4785" w:type="dxa"/>
          </w:tcPr>
          <w:p w:rsidR="000F7CF1" w:rsidRPr="00AA4678" w:rsidRDefault="000F7CF1" w:rsidP="00AA467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Иные здания, строения, сооружения, помещения, площадью до 50 кв.м. расположенных на земельных участках, предоставленных для ведения личного подсобного хозяйства, огородничества, садоводства или ИЖС</w:t>
            </w:r>
          </w:p>
          <w:p w:rsidR="000F7CF1" w:rsidRPr="00AA4678" w:rsidRDefault="000F7CF1" w:rsidP="00AA467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678" w:rsidRDefault="00AA4678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F7CF1" w:rsidRPr="00AA4678" w:rsidTr="000F7CF1">
        <w:tc>
          <w:tcPr>
            <w:tcW w:w="4785" w:type="dxa"/>
          </w:tcPr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Прочие объекты</w:t>
            </w:r>
          </w:p>
          <w:p w:rsidR="000F7CF1" w:rsidRPr="00AA4678" w:rsidRDefault="000F7CF1" w:rsidP="00AA4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F1" w:rsidRPr="00AA4678" w:rsidRDefault="000F7CF1" w:rsidP="00AA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67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0F7CF1" w:rsidRDefault="000F7CF1" w:rsidP="00AA4678">
      <w:pPr>
        <w:spacing w:line="240" w:lineRule="auto"/>
        <w:rPr>
          <w:rFonts w:ascii="Times New Roman" w:hAnsi="Times New Roman" w:cs="Times New Roman"/>
        </w:rPr>
      </w:pPr>
    </w:p>
    <w:p w:rsidR="00807AE5" w:rsidRDefault="00807AE5" w:rsidP="00AA4678">
      <w:pPr>
        <w:spacing w:line="240" w:lineRule="auto"/>
        <w:rPr>
          <w:rFonts w:ascii="Times New Roman" w:hAnsi="Times New Roman" w:cs="Times New Roman"/>
        </w:rPr>
      </w:pPr>
    </w:p>
    <w:p w:rsidR="00807AE5" w:rsidRDefault="00807AE5" w:rsidP="00AA4678">
      <w:pPr>
        <w:spacing w:line="240" w:lineRule="auto"/>
        <w:rPr>
          <w:rFonts w:ascii="Times New Roman" w:hAnsi="Times New Roman" w:cs="Times New Roman"/>
        </w:rPr>
      </w:pPr>
    </w:p>
    <w:p w:rsidR="00807AE5" w:rsidRDefault="00807AE5" w:rsidP="00AA4678">
      <w:pPr>
        <w:spacing w:line="240" w:lineRule="auto"/>
        <w:rPr>
          <w:rFonts w:ascii="Times New Roman" w:hAnsi="Times New Roman" w:cs="Times New Roman"/>
        </w:rPr>
      </w:pPr>
    </w:p>
    <w:p w:rsidR="00807AE5" w:rsidRDefault="00807AE5" w:rsidP="00AA4678">
      <w:pPr>
        <w:spacing w:line="240" w:lineRule="auto"/>
        <w:rPr>
          <w:rFonts w:ascii="Times New Roman" w:hAnsi="Times New Roman" w:cs="Times New Roman"/>
        </w:rPr>
      </w:pPr>
    </w:p>
    <w:p w:rsidR="00807AE5" w:rsidRDefault="00807AE5" w:rsidP="00AA4678">
      <w:pPr>
        <w:spacing w:line="240" w:lineRule="auto"/>
        <w:rPr>
          <w:rFonts w:ascii="Times New Roman" w:hAnsi="Times New Roman" w:cs="Times New Roman"/>
        </w:rPr>
      </w:pPr>
    </w:p>
    <w:p w:rsidR="00807AE5" w:rsidRDefault="00807AE5" w:rsidP="00AA4678">
      <w:pPr>
        <w:spacing w:line="240" w:lineRule="auto"/>
        <w:rPr>
          <w:rFonts w:ascii="Times New Roman" w:hAnsi="Times New Roman" w:cs="Times New Roman"/>
        </w:rPr>
      </w:pPr>
    </w:p>
    <w:p w:rsidR="00807AE5" w:rsidRDefault="00807AE5" w:rsidP="00AA4678">
      <w:pPr>
        <w:spacing w:line="240" w:lineRule="auto"/>
        <w:rPr>
          <w:rFonts w:ascii="Times New Roman" w:hAnsi="Times New Roman" w:cs="Times New Roman"/>
        </w:rPr>
      </w:pPr>
    </w:p>
    <w:p w:rsidR="00807AE5" w:rsidRDefault="00807AE5" w:rsidP="00AA4678">
      <w:pPr>
        <w:spacing w:line="240" w:lineRule="auto"/>
        <w:rPr>
          <w:rFonts w:ascii="Times New Roman" w:hAnsi="Times New Roman" w:cs="Times New Roman"/>
        </w:rPr>
      </w:pP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4932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татья 407. Налоговые льготы (налога на имущество физических лиц)</w:t>
      </w:r>
    </w:p>
    <w:p w:rsidR="00807AE5" w:rsidRPr="004932AD" w:rsidRDefault="00F417C7" w:rsidP="00807AE5">
      <w:pPr>
        <w:shd w:val="clear" w:color="auto" w:fill="FFFFFF"/>
        <w:spacing w:after="0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tooltip="Налоговый кодекс РФ" w:history="1">
        <w:r w:rsidR="00807AE5" w:rsidRPr="004932AD">
          <w:rPr>
            <w:rFonts w:ascii="Times New Roman" w:eastAsia="Times New Roman" w:hAnsi="Times New Roman" w:cs="Times New Roman"/>
            <w:b/>
            <w:bCs/>
            <w:color w:val="707070"/>
            <w:sz w:val="24"/>
            <w:szCs w:val="24"/>
            <w:lang w:eastAsia="ru-RU"/>
          </w:rPr>
          <w:t>[Налоговый кодекс РФ]</w:t>
        </w:r>
      </w:hyperlink>
      <w:r w:rsidR="00807AE5"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1" w:tooltip="Налог на имущество физических лиц" w:history="1">
        <w:r w:rsidR="00807AE5" w:rsidRPr="004932AD">
          <w:rPr>
            <w:rFonts w:ascii="Times New Roman" w:eastAsia="Times New Roman" w:hAnsi="Times New Roman" w:cs="Times New Roman"/>
            <w:b/>
            <w:bCs/>
            <w:color w:val="707070"/>
            <w:sz w:val="24"/>
            <w:szCs w:val="24"/>
            <w:lang w:eastAsia="ru-RU"/>
          </w:rPr>
          <w:t>[Глава 32]</w:t>
        </w:r>
      </w:hyperlink>
      <w:r w:rsidR="00807AE5"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2" w:tooltip="Налоговые льготы" w:history="1">
        <w:r w:rsidR="00807AE5" w:rsidRPr="004932AD">
          <w:rPr>
            <w:rFonts w:ascii="Times New Roman" w:eastAsia="Times New Roman" w:hAnsi="Times New Roman" w:cs="Times New Roman"/>
            <w:b/>
            <w:bCs/>
            <w:color w:val="707070"/>
            <w:sz w:val="24"/>
            <w:szCs w:val="24"/>
            <w:lang w:eastAsia="ru-RU"/>
          </w:rPr>
          <w:t>[Статья 407]</w:t>
        </w:r>
      </w:hyperlink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 учетом положений настоящей статьи право на налоговую льготу имеют следующие категории налогоплательщиков: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Герои Советского Союза и Герои Российской Федерации, а также лица, награжденные орденом Славы трех степеней;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инвалиды I и II групп инвалидности;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инвалиды с детства;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участники гражданской войны,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партизан, а также ветераны боевых действий;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</w:t>
      </w:r>
      <w:proofErr w:type="gramEnd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частей действующей армии;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лица, имеющие право на получение социальной поддержки в соответствии с "Законом"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"законом" от 26 ноября 1998 года N 175-ФЗ "О социальной защите граждан Российской Федерации, подвергшихся воздействию радиации вследствие аварии в 1957 году на</w:t>
      </w:r>
      <w:proofErr w:type="gramEnd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производственном объединении "Маяк" и сбросов радиоактивных отходов в реку </w:t>
      </w:r>
      <w:proofErr w:type="spellStart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Теча</w:t>
      </w:r>
      <w:proofErr w:type="spellEnd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и Федеральным "законом"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  <w:proofErr w:type="gramEnd"/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члены семей военнослужащих, потерявших кормильца, признаваемые таковыми в соответствии с Федеральным законом от 27 мая 1998 года N 76-ФЗ "О статусе военнослужащих";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10) 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граждане, уволенные с военной службы или </w:t>
      </w:r>
      <w:proofErr w:type="spellStart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призывавшиеся</w:t>
      </w:r>
      <w:proofErr w:type="spellEnd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военные сборы, выполнявшие интернациональный долг в Афганистане и других странах, в которых велись боевые действия;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родители и супруги военнослужащих и государственных служащих, погибших при исполнении служебных обязанностей;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 физические лица, осуществляющие профессиональную творческую деятельность, - в отношении специально оборудованных помещений, сооружений, используемых ими исключительно в качестве творческих мастерских, ателье, студий, а также жилых помещений, используемых для организации открытых для посещения негосударственных музеев, галерей, библиотек, - на период такого их использования;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 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При определении подлежащей уплате налогоплательщиком суммы налога налоговая льгота предоставляется </w:t>
      </w:r>
      <w:proofErr w:type="gramStart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налоговых льгот.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Налоговая льгота предоставляется в отношении следующих видов объектов налогообложения: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квартира или комната;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жилой дом;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помещение или сооружение, указанные в "подпункте 14 пункта 1" настоящей статьи;</w:t>
      </w:r>
      <w:proofErr w:type="gramEnd"/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хозяйственное строение или сооружение, указанные в "подпункте 15 пункта 1" настоящей статьи;</w:t>
      </w:r>
      <w:proofErr w:type="gramEnd"/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гараж или </w:t>
      </w:r>
      <w:proofErr w:type="spellStart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машино</w:t>
      </w:r>
      <w:proofErr w:type="spellEnd"/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-место.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Налоговая льгота не предоставляется в отношении объектов налогообложения, указанных в подпункте 2 пункта 2 статьи 406 настоящего Кодекса.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Примечание:</w:t>
      </w: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Лицо, указанное в пункте 6 статьи 407, которому по состоянию на 31 декабря 2014 года была предоставлена налоговая льгота в соответствии с Законом Российской Федерации от 09.12.1991 N 2003-1, вправе не представлять в налоговый орган повторно заявление и документы, предусмотренные вышеуказанным пунктом.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Уведомление о выбранных объектах налогообложения, в отношении которых предоставляется налоговая льгота, представляется налогоплательщиком в налоговый орган по своему выбору до 1 ноября года, являющегося налоговым периодом, начиная с которого в отношении указанных объектов применяется налоговая льгота.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Налогоплательщик, представивший в налоговый орган уведомление о выбранном объекте налогообложения, не вправе после 1 ноября года, являющегося налоговым периодом, представлять уточненное уведомление с изменением объекта налогообложения, в отношении которого в указанном налоговом периоде предоставляется налоговая льгота.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непредставлении налогоплательщиком, имеющим право на налоговую льготу, уведомления о выбранном объекте налогообложения налоговая льгота предоставляется в отношении одного объекта налогообложения каждого вида с максимальной исчисленной суммой налога.</w:t>
      </w:r>
    </w:p>
    <w:p w:rsidR="00807AE5" w:rsidRPr="004932AD" w:rsidRDefault="00807AE5" w:rsidP="00807AE5">
      <w:pPr>
        <w:shd w:val="clear" w:color="auto" w:fill="FFFFFF"/>
        <w:spacing w:before="100" w:beforeAutospacing="1" w:after="100" w:afterAutospacing="1" w:line="24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уведомления утверждается федеральным органом исполнительной власти, уполномоченным по контролю и надзору в области налогов и сборов.</w:t>
      </w:r>
    </w:p>
    <w:p w:rsidR="00807AE5" w:rsidRPr="004932AD" w:rsidRDefault="00807AE5" w:rsidP="00807AE5">
      <w:pPr>
        <w:shd w:val="clear" w:color="auto" w:fill="FFFFFF"/>
        <w:spacing w:before="75" w:after="0" w:line="244" w:lineRule="atLeast"/>
        <w:outlineLvl w:val="1"/>
        <w:rPr>
          <w:rFonts w:ascii="Times New Roman" w:eastAsia="Times New Roman" w:hAnsi="Times New Roman" w:cs="Times New Roman"/>
          <w:b/>
          <w:bCs/>
          <w:color w:val="EEEEEE"/>
          <w:sz w:val="24"/>
          <w:szCs w:val="24"/>
          <w:lang w:eastAsia="ru-RU"/>
        </w:rPr>
      </w:pPr>
      <w:r w:rsidRPr="004932AD">
        <w:rPr>
          <w:rFonts w:ascii="Times New Roman" w:eastAsia="Times New Roman" w:hAnsi="Times New Roman" w:cs="Times New Roman"/>
          <w:b/>
          <w:bCs/>
          <w:color w:val="EEEEEE"/>
          <w:sz w:val="24"/>
          <w:szCs w:val="24"/>
          <w:lang w:eastAsia="ru-RU"/>
        </w:rPr>
        <w:t xml:space="preserve">Налоговый кодекс ( </w:t>
      </w:r>
      <w:proofErr w:type="spellStart"/>
      <w:proofErr w:type="gramStart"/>
      <w:r w:rsidRPr="004932AD">
        <w:rPr>
          <w:rFonts w:ascii="Times New Roman" w:eastAsia="Times New Roman" w:hAnsi="Times New Roman" w:cs="Times New Roman"/>
          <w:b/>
          <w:bCs/>
          <w:color w:val="EEEEEE"/>
          <w:sz w:val="24"/>
          <w:szCs w:val="24"/>
          <w:lang w:eastAsia="ru-RU"/>
        </w:rPr>
        <w:t>ст</w:t>
      </w:r>
      <w:proofErr w:type="spellEnd"/>
      <w:proofErr w:type="gramEnd"/>
      <w:r w:rsidRPr="004932AD">
        <w:rPr>
          <w:rFonts w:ascii="Times New Roman" w:eastAsia="Times New Roman" w:hAnsi="Times New Roman" w:cs="Times New Roman"/>
          <w:b/>
          <w:bCs/>
          <w:color w:val="EEEEEE"/>
          <w:sz w:val="24"/>
          <w:szCs w:val="24"/>
          <w:lang w:eastAsia="ru-RU"/>
        </w:rPr>
        <w:t xml:space="preserve"> 407 НК РФ 2016 )</w:t>
      </w:r>
    </w:p>
    <w:p w:rsidR="00807AE5" w:rsidRPr="004932AD" w:rsidRDefault="00807AE5" w:rsidP="00807AE5">
      <w:pPr>
        <w:rPr>
          <w:rFonts w:ascii="Times New Roman" w:hAnsi="Times New Roman" w:cs="Times New Roman"/>
          <w:sz w:val="24"/>
          <w:szCs w:val="24"/>
        </w:rPr>
      </w:pPr>
    </w:p>
    <w:p w:rsidR="00807AE5" w:rsidRDefault="00807AE5" w:rsidP="00AA4678">
      <w:pPr>
        <w:spacing w:line="240" w:lineRule="auto"/>
        <w:rPr>
          <w:rFonts w:ascii="Times New Roman" w:hAnsi="Times New Roman" w:cs="Times New Roman"/>
        </w:rPr>
      </w:pPr>
    </w:p>
    <w:p w:rsidR="00807AE5" w:rsidRPr="00AA4678" w:rsidRDefault="00807AE5" w:rsidP="00AA4678">
      <w:pPr>
        <w:spacing w:line="240" w:lineRule="auto"/>
        <w:rPr>
          <w:rFonts w:ascii="Times New Roman" w:hAnsi="Times New Roman" w:cs="Times New Roman"/>
        </w:rPr>
      </w:pPr>
    </w:p>
    <w:sectPr w:rsidR="00807AE5" w:rsidRPr="00AA4678" w:rsidSect="00344904">
      <w:footerReference w:type="default" r:id="rId13"/>
      <w:pgSz w:w="11906" w:h="16838"/>
      <w:pgMar w:top="851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7C7" w:rsidRDefault="00F417C7" w:rsidP="00A8250B">
      <w:pPr>
        <w:spacing w:after="0" w:line="240" w:lineRule="auto"/>
      </w:pPr>
      <w:r>
        <w:separator/>
      </w:r>
    </w:p>
  </w:endnote>
  <w:endnote w:type="continuationSeparator" w:id="0">
    <w:p w:rsidR="00F417C7" w:rsidRDefault="00F417C7" w:rsidP="00A8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50B" w:rsidRDefault="00A8250B">
    <w:pPr>
      <w:pStyle w:val="a8"/>
      <w:jc w:val="center"/>
    </w:pPr>
  </w:p>
  <w:p w:rsidR="00A8250B" w:rsidRDefault="00A825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7C7" w:rsidRDefault="00F417C7" w:rsidP="00A8250B">
      <w:pPr>
        <w:spacing w:after="0" w:line="240" w:lineRule="auto"/>
      </w:pPr>
      <w:r>
        <w:separator/>
      </w:r>
    </w:p>
  </w:footnote>
  <w:footnote w:type="continuationSeparator" w:id="0">
    <w:p w:rsidR="00F417C7" w:rsidRDefault="00F417C7" w:rsidP="00A825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75"/>
    <w:rsid w:val="000774F2"/>
    <w:rsid w:val="000B642A"/>
    <w:rsid w:val="000F7CF1"/>
    <w:rsid w:val="001953A0"/>
    <w:rsid w:val="00334CD8"/>
    <w:rsid w:val="00344904"/>
    <w:rsid w:val="003E40F7"/>
    <w:rsid w:val="00422F2B"/>
    <w:rsid w:val="004262FA"/>
    <w:rsid w:val="00534F21"/>
    <w:rsid w:val="00807AE5"/>
    <w:rsid w:val="00837AC4"/>
    <w:rsid w:val="008B1F8F"/>
    <w:rsid w:val="00950E9E"/>
    <w:rsid w:val="0095313A"/>
    <w:rsid w:val="00A46E78"/>
    <w:rsid w:val="00A56FD5"/>
    <w:rsid w:val="00A8250B"/>
    <w:rsid w:val="00AA4678"/>
    <w:rsid w:val="00C4158E"/>
    <w:rsid w:val="00C738AA"/>
    <w:rsid w:val="00D11A1A"/>
    <w:rsid w:val="00D6728C"/>
    <w:rsid w:val="00D7335F"/>
    <w:rsid w:val="00DF7D3D"/>
    <w:rsid w:val="00E00475"/>
    <w:rsid w:val="00E03AFB"/>
    <w:rsid w:val="00E43F6C"/>
    <w:rsid w:val="00F417C7"/>
    <w:rsid w:val="00F81492"/>
    <w:rsid w:val="00F8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475"/>
    <w:pPr>
      <w:ind w:left="720"/>
      <w:contextualSpacing/>
    </w:pPr>
  </w:style>
  <w:style w:type="table" w:styleId="a4">
    <w:name w:val="Table Grid"/>
    <w:basedOn w:val="a1"/>
    <w:uiPriority w:val="59"/>
    <w:rsid w:val="000F7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F7CF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82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250B"/>
  </w:style>
  <w:style w:type="paragraph" w:styleId="a8">
    <w:name w:val="footer"/>
    <w:basedOn w:val="a"/>
    <w:link w:val="a9"/>
    <w:uiPriority w:val="99"/>
    <w:unhideWhenUsed/>
    <w:rsid w:val="00A82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250B"/>
  </w:style>
  <w:style w:type="paragraph" w:styleId="aa">
    <w:name w:val="Balloon Text"/>
    <w:basedOn w:val="a"/>
    <w:link w:val="ab"/>
    <w:uiPriority w:val="99"/>
    <w:semiHidden/>
    <w:unhideWhenUsed/>
    <w:rsid w:val="00A8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2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475"/>
    <w:pPr>
      <w:ind w:left="720"/>
      <w:contextualSpacing/>
    </w:pPr>
  </w:style>
  <w:style w:type="table" w:styleId="a4">
    <w:name w:val="Table Grid"/>
    <w:basedOn w:val="a1"/>
    <w:uiPriority w:val="59"/>
    <w:rsid w:val="000F7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F7CF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82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250B"/>
  </w:style>
  <w:style w:type="paragraph" w:styleId="a8">
    <w:name w:val="footer"/>
    <w:basedOn w:val="a"/>
    <w:link w:val="a9"/>
    <w:uiPriority w:val="99"/>
    <w:unhideWhenUsed/>
    <w:rsid w:val="00A82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250B"/>
  </w:style>
  <w:style w:type="paragraph" w:styleId="aa">
    <w:name w:val="Balloon Text"/>
    <w:basedOn w:val="a"/>
    <w:link w:val="ab"/>
    <w:uiPriority w:val="99"/>
    <w:semiHidden/>
    <w:unhideWhenUsed/>
    <w:rsid w:val="00A8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2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ssessor.ru/zakon/nk/407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ssessor.ru/zakon/nk/gl3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sessor.ru/zakon/nk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786E2-C689-42C2-8EBC-0565CC25E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Александр А. Лиморов</cp:lastModifiedBy>
  <cp:revision>21</cp:revision>
  <cp:lastPrinted>2018-09-17T14:06:00Z</cp:lastPrinted>
  <dcterms:created xsi:type="dcterms:W3CDTF">2015-10-12T09:07:00Z</dcterms:created>
  <dcterms:modified xsi:type="dcterms:W3CDTF">2018-09-17T14:09:00Z</dcterms:modified>
</cp:coreProperties>
</file>