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41C" w:rsidRPr="005F604F" w:rsidRDefault="00DE541C" w:rsidP="00DE5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60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СОВЕТ НАРОДНЫХ ДЕПУТАТОВ</w:t>
      </w:r>
    </w:p>
    <w:p w:rsidR="00DE541C" w:rsidRPr="005F604F" w:rsidRDefault="00DE541C" w:rsidP="00DE5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60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ПОДГОРЕНСКОГО ГОРОДСКОГО ПОСЕЛЕНИЯ</w:t>
      </w:r>
      <w:r w:rsidRPr="005F60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ПОДГОРЕНСКОГО МУНИЦИПАЛЬНОГО РАЙОНА</w:t>
      </w:r>
    </w:p>
    <w:p w:rsidR="00DE541C" w:rsidRPr="005F604F" w:rsidRDefault="00DE541C" w:rsidP="00DE54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60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ВОРОНЕЖСКОЙ ОБЛАСТИ</w:t>
      </w:r>
    </w:p>
    <w:p w:rsidR="00DE541C" w:rsidRPr="005F604F" w:rsidRDefault="00DE541C" w:rsidP="00DE54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DE541C" w:rsidRPr="005F604F" w:rsidRDefault="00DE541C" w:rsidP="00DE54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DE541C" w:rsidRPr="005F604F" w:rsidRDefault="00DE541C" w:rsidP="00DE54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DE541C" w:rsidRPr="005F604F" w:rsidRDefault="00DE541C" w:rsidP="00DE54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F604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от 27</w:t>
      </w:r>
      <w:r w:rsidR="00166E4B" w:rsidRPr="005F604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5F604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февраля 2015 года  №  344</w:t>
      </w:r>
    </w:p>
    <w:p w:rsidR="00DE541C" w:rsidRPr="005F604F" w:rsidRDefault="00DE541C" w:rsidP="00DE54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60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п.г.т. Подгоренский</w:t>
      </w: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работе МКП «Подгоренский центр</w:t>
      </w:r>
    </w:p>
    <w:p w:rsidR="00DE541C" w:rsidRPr="005F604F" w:rsidRDefault="00DE541C" w:rsidP="00DE541C">
      <w:pPr>
        <w:shd w:val="clear" w:color="auto" w:fill="FFFFFF"/>
        <w:spacing w:after="15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коммунальных услуг» за 2014 год.</w:t>
      </w:r>
    </w:p>
    <w:p w:rsidR="00DE541C" w:rsidRPr="005F604F" w:rsidRDefault="00DE541C" w:rsidP="00DE541C">
      <w:p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DE541C" w:rsidRPr="005F604F" w:rsidRDefault="00DE541C" w:rsidP="00DE541C">
      <w:p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</w:p>
    <w:p w:rsidR="00DE541C" w:rsidRPr="005F604F" w:rsidRDefault="00DE541C" w:rsidP="00DE541C">
      <w:p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Заслушав информацию представителя МКП «Подгоренский центр коммунальных услуг» Кульбакину Ю.</w:t>
      </w:r>
      <w:r w:rsidR="00166E4B"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работе предприятия за 2014 год, Совет народных депутатов Подгоренского городского поселения  </w:t>
      </w:r>
      <w:proofErr w:type="gramStart"/>
      <w:r w:rsidRPr="005F60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proofErr w:type="gramEnd"/>
      <w:r w:rsidRPr="005F60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е ш и л:</w:t>
      </w:r>
    </w:p>
    <w:p w:rsidR="00DE541C" w:rsidRPr="005F604F" w:rsidRDefault="00DE541C" w:rsidP="00DE541C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541C" w:rsidRPr="005F604F" w:rsidRDefault="00DE541C" w:rsidP="00DE541C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 к сведению отчёт  о работе   МКП «Подгоренский центр коммунальных услуг» за 2014 год.</w:t>
      </w:r>
    </w:p>
    <w:p w:rsidR="00DE541C" w:rsidRPr="005F604F" w:rsidRDefault="00DE541C" w:rsidP="00DE541C">
      <w:pPr>
        <w:shd w:val="clear" w:color="auto" w:fill="FFFFFF"/>
        <w:spacing w:after="0" w:line="300" w:lineRule="atLeast"/>
        <w:ind w:left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41C" w:rsidRPr="005F604F" w:rsidRDefault="00DE541C" w:rsidP="00DE541C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Признать деятельность МКП «Подгоренский центр коммунальных услуг» </w:t>
      </w:r>
      <w:r w:rsidR="00166E4B"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удовлетворительной.</w:t>
      </w:r>
    </w:p>
    <w:p w:rsidR="00DE541C" w:rsidRPr="005F604F" w:rsidRDefault="00DE541C" w:rsidP="00DE541C">
      <w:pPr>
        <w:shd w:val="clear" w:color="auto" w:fill="FFFFFF"/>
        <w:spacing w:after="150" w:line="30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41C" w:rsidRPr="005F604F" w:rsidRDefault="00DE541C" w:rsidP="00DE541C">
      <w:pPr>
        <w:pStyle w:val="a3"/>
        <w:numPr>
          <w:ilvl w:val="0"/>
          <w:numId w:val="2"/>
        </w:numPr>
        <w:shd w:val="clear" w:color="auto" w:fill="FFFFFF"/>
        <w:spacing w:after="15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Опубликовать настоящее решение в «Вестнике» Подгоренского городского поселения.</w:t>
      </w: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Подгоренского</w:t>
      </w: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 поселения                                                                                   А.Н. Неваленый</w:t>
      </w: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604F">
        <w:rPr>
          <w:rFonts w:ascii="Times New Roman" w:hAnsi="Times New Roman" w:cs="Times New Roman"/>
          <w:b/>
          <w:sz w:val="44"/>
          <w:szCs w:val="44"/>
        </w:rPr>
        <w:t>Анализ финансово-хозяйственной  деятельности за 2014 год</w:t>
      </w: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604F">
        <w:rPr>
          <w:rFonts w:ascii="Times New Roman" w:hAnsi="Times New Roman" w:cs="Times New Roman"/>
          <w:b/>
          <w:sz w:val="44"/>
          <w:szCs w:val="44"/>
        </w:rPr>
        <w:t>МКП «Подгоренский центр коммунальных услуг»</w:t>
      </w: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04F">
        <w:rPr>
          <w:rFonts w:ascii="Times New Roman" w:hAnsi="Times New Roman" w:cs="Times New Roman"/>
          <w:b/>
          <w:sz w:val="24"/>
          <w:szCs w:val="24"/>
        </w:rPr>
        <w:lastRenderedPageBreak/>
        <w:t>Анализ финансово-хозяйственной  деятельности за 2014 год</w:t>
      </w: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04F">
        <w:rPr>
          <w:rFonts w:ascii="Times New Roman" w:hAnsi="Times New Roman" w:cs="Times New Roman"/>
          <w:b/>
          <w:sz w:val="24"/>
          <w:szCs w:val="24"/>
        </w:rPr>
        <w:t>МКП «Подгоренский центр коммунальных услуг»</w:t>
      </w:r>
    </w:p>
    <w:p w:rsidR="00711DEA" w:rsidRPr="005F604F" w:rsidRDefault="00711DEA" w:rsidP="00711DEA">
      <w:pPr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385" w:type="dxa"/>
        <w:tblInd w:w="93" w:type="dxa"/>
        <w:tblLook w:val="04A0" w:firstRow="1" w:lastRow="0" w:firstColumn="1" w:lastColumn="0" w:noHBand="0" w:noVBand="1"/>
      </w:tblPr>
      <w:tblGrid>
        <w:gridCol w:w="4532"/>
        <w:gridCol w:w="1509"/>
        <w:gridCol w:w="1652"/>
        <w:gridCol w:w="276"/>
        <w:gridCol w:w="1509"/>
      </w:tblGrid>
      <w:tr w:rsidR="00711DEA" w:rsidRPr="005F604F" w:rsidTr="00711DEA">
        <w:trPr>
          <w:trHeight w:val="255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услуг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 2014г.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2014г</w:t>
            </w:r>
          </w:p>
        </w:tc>
        <w:tc>
          <w:tcPr>
            <w:tcW w:w="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9378005,2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9418297,73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-40292,53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ЖБО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1370184,88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1371731,22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-1546,34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7876975,03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3933873,2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3943101,83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Очистка </w:t>
            </w:r>
            <w:proofErr w:type="spellStart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</w:t>
            </w:r>
            <w:proofErr w:type="spellEnd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335169,03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5614334,33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-5279165,3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водоотведение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8212144,06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9548207,53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-1336063,47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31794313,76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29717106,29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2077207,47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</w:t>
            </w:r>
            <w:proofErr w:type="spellEnd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тепла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208583,68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1501456,77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-1292873,09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отопление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32002897,44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31218563,06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784334,38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работы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1561250,69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790728,48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770522,21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6518121,67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6474606,79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43514,88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ТБО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2911439,31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2640906,31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270533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 </w:t>
            </w:r>
            <w:proofErr w:type="spellStart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Сагуны</w:t>
            </w:r>
            <w:proofErr w:type="spellEnd"/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928225,49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1877486,1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-949260,61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11DEA" w:rsidRPr="005F604F" w:rsidTr="00711DEA">
        <w:trPr>
          <w:trHeight w:val="270"/>
        </w:trPr>
        <w:tc>
          <w:tcPr>
            <w:tcW w:w="4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62882268,74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63340527,22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-458258,48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внереализационные доход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расходы)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222790,83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Списание дебиторско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кредиторской) задолженности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1581564,29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услуги банков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-96502,35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ени,неустойки</w:t>
            </w:r>
            <w:proofErr w:type="spellEnd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материальный ущерб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-78585,96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расходы)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-94462,59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Общий результат по предприятию,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1076545,74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упрощенную систему налогообложения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510654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распоряжении предприятия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565891,74</w:t>
            </w: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DEA" w:rsidRPr="005F604F" w:rsidTr="00711DEA">
        <w:trPr>
          <w:trHeight w:val="255"/>
        </w:trPr>
        <w:tc>
          <w:tcPr>
            <w:tcW w:w="4533" w:type="dxa"/>
            <w:noWrap/>
            <w:vAlign w:val="bottom"/>
          </w:tcPr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DEA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04F" w:rsidRDefault="005F604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04F" w:rsidRPr="005F604F" w:rsidRDefault="005F604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DEA" w:rsidRPr="005F604F" w:rsidRDefault="00711DE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lastRenderedPageBreak/>
        <w:t>Анализ выполнения показателей производственной деятельности по услуге ВОДОСНАБЖЕНИЕ</w:t>
      </w:r>
    </w:p>
    <w:tbl>
      <w:tblPr>
        <w:tblpPr w:leftFromText="180" w:rightFromText="180" w:bottomFromText="200" w:vertAnchor="text" w:horzAnchor="margin" w:tblpX="-34" w:tblpY="206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829"/>
        <w:gridCol w:w="1275"/>
        <w:gridCol w:w="1276"/>
        <w:gridCol w:w="1417"/>
        <w:gridCol w:w="1416"/>
      </w:tblGrid>
      <w:tr w:rsidR="00711DEA" w:rsidRPr="005F604F" w:rsidTr="00711DEA">
        <w:trPr>
          <w:trHeight w:val="141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Показатели производственной  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Факт 2013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План  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ind w:left="22" w:right="-108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ind w:left="22" w:right="-108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711DEA" w:rsidRPr="005F604F" w:rsidTr="00711DEA">
        <w:trPr>
          <w:trHeight w:val="26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210"/>
                <w:tab w:val="center" w:pos="1549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210"/>
                <w:tab w:val="center" w:pos="1549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210"/>
                <w:tab w:val="center" w:pos="1549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1DEA" w:rsidRPr="005F604F" w:rsidTr="00711DEA">
        <w:trPr>
          <w:trHeight w:val="43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Объем выработки воды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386,13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397,49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398,64</w:t>
            </w:r>
          </w:p>
        </w:tc>
      </w:tr>
      <w:tr w:rsidR="00711DEA" w:rsidRPr="005F604F" w:rsidTr="00711DEA">
        <w:trPr>
          <w:trHeight w:val="73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Объем воды, используемой на собственные нужды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4,46</w:t>
            </w:r>
          </w:p>
        </w:tc>
      </w:tr>
      <w:tr w:rsidR="00711DEA" w:rsidRPr="005F604F" w:rsidTr="00711DEA">
        <w:trPr>
          <w:trHeight w:val="42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  3.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Объем потерь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  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79,29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82,61</w:t>
            </w:r>
          </w:p>
        </w:tc>
      </w:tr>
      <w:tr w:rsidR="00711DEA" w:rsidRPr="005F604F" w:rsidTr="00711DEA">
        <w:trPr>
          <w:trHeight w:val="58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Уровень потерь к объему отпущенной воды в сеть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16,07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19,95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20,72</w:t>
            </w:r>
          </w:p>
        </w:tc>
      </w:tr>
      <w:tr w:rsidR="00711DEA" w:rsidRPr="005F604F" w:rsidTr="00711DEA">
        <w:trPr>
          <w:trHeight w:val="92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Объем реализации товаров и услуг, в том числе по потребителям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311,57</w:t>
            </w:r>
          </w:p>
        </w:tc>
      </w:tr>
      <w:tr w:rsidR="00711DEA" w:rsidRPr="005F604F" w:rsidTr="00711DEA">
        <w:trPr>
          <w:trHeight w:val="54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-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261,89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225,24</w:t>
            </w:r>
          </w:p>
        </w:tc>
      </w:tr>
      <w:tr w:rsidR="00711DEA" w:rsidRPr="005F604F" w:rsidTr="00711DEA">
        <w:trPr>
          <w:trHeight w:val="55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- бюджетным потребителям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40,14</w:t>
            </w:r>
          </w:p>
        </w:tc>
      </w:tr>
      <w:tr w:rsidR="00711DEA" w:rsidRPr="005F604F" w:rsidTr="00711DEA">
        <w:trPr>
          <w:trHeight w:val="26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- прочим потребителям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46,19</w:t>
            </w:r>
          </w:p>
        </w:tc>
      </w:tr>
    </w:tbl>
    <w:p w:rsidR="00711DEA" w:rsidRPr="005F604F" w:rsidRDefault="00711DEA" w:rsidP="005F604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Уменьшение объемов по водоснабжению объясняются тем, что на период с февраля по сентябрь 2014 год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– коммунальный сервис», как организацией занимающейся деятельностью по управлению многоквартирными домами, снимались общедомовые приборы учета холодного водоснабжения, которые установлены на многоквартирных домах находящихся в управлении ООО «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Жилкомсервис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» без объяснения причин. Уменьшение объёмов потребления по категории населения по сравнению с фактом 2013 года составило 36,65 тысяч м3 воды. Соответственно увеличился объём потерь. </w:t>
      </w:r>
    </w:p>
    <w:p w:rsidR="00711DEA" w:rsidRPr="005F604F" w:rsidRDefault="00711DEA" w:rsidP="005F60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В 2014 году запланировано израсходовать 383,6 тыс. 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кВтч</w:t>
      </w:r>
      <w:proofErr w:type="spellEnd"/>
      <w:proofErr w:type="gramStart"/>
      <w:r w:rsidRPr="005F60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ли 0,97 кВт.  ч. на подъем </w:t>
      </w:r>
      <w:smartTag w:uri="urn:schemas-microsoft-com:office:smarttags" w:element="metricconverter">
        <w:smartTagPr>
          <w:attr w:name="ProductID" w:val="1 м3"/>
        </w:smartTagPr>
        <w:r w:rsidRPr="005F604F">
          <w:rPr>
            <w:rFonts w:ascii="Times New Roman" w:hAnsi="Times New Roman" w:cs="Times New Roman"/>
            <w:sz w:val="24"/>
            <w:szCs w:val="24"/>
          </w:rPr>
          <w:t>1 м3</w:t>
        </w:r>
      </w:smartTag>
      <w:r w:rsidRPr="005F604F">
        <w:rPr>
          <w:rFonts w:ascii="Times New Roman" w:hAnsi="Times New Roman" w:cs="Times New Roman"/>
          <w:sz w:val="24"/>
          <w:szCs w:val="24"/>
        </w:rPr>
        <w:t xml:space="preserve"> воды. Фактически за 2014 год израсходовано 309,85 тыс.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кВтч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., удельный расход составил 0,78 кВт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. на подъем </w:t>
      </w:r>
      <w:smartTag w:uri="urn:schemas-microsoft-com:office:smarttags" w:element="metricconverter">
        <w:smartTagPr>
          <w:attr w:name="ProductID" w:val="1 м3"/>
        </w:smartTagPr>
        <w:r w:rsidRPr="005F604F">
          <w:rPr>
            <w:rFonts w:ascii="Times New Roman" w:hAnsi="Times New Roman" w:cs="Times New Roman"/>
            <w:sz w:val="24"/>
            <w:szCs w:val="24"/>
          </w:rPr>
          <w:t>1 м3</w:t>
        </w:r>
      </w:smartTag>
      <w:r w:rsidRPr="005F604F">
        <w:rPr>
          <w:rFonts w:ascii="Times New Roman" w:hAnsi="Times New Roman" w:cs="Times New Roman"/>
          <w:sz w:val="24"/>
          <w:szCs w:val="24"/>
        </w:rPr>
        <w:t xml:space="preserve"> воды. 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 xml:space="preserve">Уменьшение потребленной электрической энергии объясняется  тем, что в 2014 году проводили замену погружных </w:t>
      </w:r>
      <w:r w:rsidRPr="005F604F">
        <w:rPr>
          <w:rFonts w:ascii="Times New Roman" w:hAnsi="Times New Roman" w:cs="Times New Roman"/>
          <w:sz w:val="24"/>
          <w:szCs w:val="24"/>
        </w:rPr>
        <w:lastRenderedPageBreak/>
        <w:t>центробежных насосов на менее энергоемкие (ЭЦВ 8-25-100 заменены на ЭЦВ 6-10-140, ЭЦВ 6-16-110.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 Разница по сэкономленной электрической энергии направлена на ФОТ.   </w:t>
      </w:r>
    </w:p>
    <w:p w:rsidR="00711DEA" w:rsidRPr="005F604F" w:rsidRDefault="00711DEA" w:rsidP="005F604F">
      <w:pPr>
        <w:tabs>
          <w:tab w:val="left" w:pos="35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    Весь  текущий ремонт и  обслуживание систем водоснабжения за 2014 год осуществлялся собственными силами предприятия, в затраты относились расходы только на приобретение материалов. </w:t>
      </w:r>
    </w:p>
    <w:p w:rsidR="00711DEA" w:rsidRPr="005F604F" w:rsidRDefault="00711DEA" w:rsidP="005F604F">
      <w:pPr>
        <w:tabs>
          <w:tab w:val="left" w:pos="35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 Численность основных рабочих установлена на основании производственной необходимости и реальной возможности  предприятия. Затраты на оплату труда определены в соответствии с утвержденным штатным расписанием, положением об оплате труда и положением о премировании работников МКП «Подгоренский центр коммунальных услуг» </w:t>
      </w:r>
    </w:p>
    <w:p w:rsidR="00711DEA" w:rsidRPr="005F604F" w:rsidRDefault="00711DEA" w:rsidP="005F604F">
      <w:pPr>
        <w:tabs>
          <w:tab w:val="left" w:pos="35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    При плановом фонде оплаты труда на 2014 год 2594,72 тыс. руб. фактически выплачено 3031,92 тыс. руб. Данный перерасход объясняется тем, что фактически в течение 2014 года выплачивалась разовая премия к профессиональным праздникам (дню коммунальника, дню водителя, восьмому марта, дню защитника Отечества)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коллективного договора и положения об оплате труда.   Средняя зарплата при плане 15164,78 руб. составила 16144,59 руб. </w:t>
      </w: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  В 2014 году химические и бактериологические анализы осуществлялись ФБУ «Центр гигиены и эпидемиологии в Воронежской области в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Россошанском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Ольховатском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, Кантемировском, Подгоренском районах» с периодичностью два раза в год производственный контроль и ежемесячно мониторинг. Превышение гигиенических нормативов в 2014 году в пределах допустимого значения, постоянный показатель по жесткости в 1,1-2 раза, единичные всплески наблюдались по железу в 1,1-2,3 раза, сульфаты в 1,1 раза, магний в 1,1 раза, сразу предприятием применялись меры по стабилизации. </w:t>
      </w: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В 2014 году закончены работы по инвестиционной программе:</w:t>
      </w: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На 01.01.2014г остаток неизрасходованных собственных средств составил 192,67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Собрано собственных средств (инвестиционная надбавка) в 2014 году – 483,31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Получено бюджетных средств в 2014 году – 400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Всего инвестиционных средств на конец 2014 года  - </w:t>
      </w:r>
      <w:r w:rsidRPr="005F604F">
        <w:rPr>
          <w:rFonts w:ascii="Times New Roman" w:hAnsi="Times New Roman" w:cs="Times New Roman"/>
          <w:b/>
          <w:sz w:val="24"/>
          <w:szCs w:val="24"/>
        </w:rPr>
        <w:t>1075,98</w:t>
      </w:r>
      <w:r w:rsidRPr="005F6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Выполнено работ в 2014 году на сумму 1077,62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</w:t>
      </w:r>
    </w:p>
    <w:p w:rsidR="00711DEA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Выполнено работ в 2014 году (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):</w:t>
      </w:r>
    </w:p>
    <w:p w:rsidR="005F604F" w:rsidRPr="005F604F" w:rsidRDefault="005F604F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5854"/>
        <w:gridCol w:w="985"/>
        <w:gridCol w:w="1116"/>
        <w:gridCol w:w="876"/>
      </w:tblGrid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Виды работ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водовода ул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ервомайская,д.121-д.36                     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284,7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прокол под прокладку трубопровода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грунта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врезка в действующие сети, обратная засыпка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37,104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укладка трубопроводов, устройство колодцев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99,61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водовода ул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ервомайская,д.175-ул.Вокзальная, д.55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прокол под прокладку трубопровода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разборка грунта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99,781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укладка трубопроводов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96,037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кирпичных </w:t>
            </w:r>
            <w:proofErr w:type="spell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водопров</w:t>
            </w:r>
            <w:proofErr w:type="spellEnd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колодцев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96,497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бетонных </w:t>
            </w:r>
            <w:proofErr w:type="spell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водопров</w:t>
            </w:r>
            <w:proofErr w:type="spellEnd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колодцев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92,288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разборка бетонных оснований 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99,541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подстилающих слоев, засыпка грунтом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56,76</w:t>
            </w:r>
          </w:p>
        </w:tc>
      </w:tr>
      <w:tr w:rsidR="00711DEA" w:rsidRPr="005F604F" w:rsidTr="00711DEA">
        <w:trPr>
          <w:trHeight w:val="226"/>
        </w:trPr>
        <w:tc>
          <w:tcPr>
            <w:tcW w:w="5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1DEA" w:rsidRPr="005F604F" w:rsidTr="00711DEA">
        <w:trPr>
          <w:trHeight w:val="345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1020,3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1077,618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11DEA" w:rsidRPr="005F604F" w:rsidRDefault="00711DEA" w:rsidP="00711DEA">
      <w:pPr>
        <w:tabs>
          <w:tab w:val="left" w:pos="672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tabs>
          <w:tab w:val="left" w:pos="6720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5F604F">
        <w:rPr>
          <w:rFonts w:ascii="Times New Roman" w:eastAsia="Calibri" w:hAnsi="Times New Roman" w:cs="Times New Roman"/>
          <w:bCs/>
          <w:sz w:val="24"/>
          <w:szCs w:val="24"/>
        </w:rPr>
        <w:t xml:space="preserve">Фактически выполнено работ по строительству новых объектов общей протяженностью 708 погонных метров, а так же модернизацию водоводов наиболее изношенных участков общей протяженностью 859,5 погонных метров. Установлена станция управления насосами скважинами №2 и №9, в </w:t>
      </w:r>
      <w:proofErr w:type="gramStart"/>
      <w:r w:rsidRPr="005F604F">
        <w:rPr>
          <w:rFonts w:ascii="Times New Roman" w:eastAsia="Calibri" w:hAnsi="Times New Roman" w:cs="Times New Roman"/>
          <w:bCs/>
          <w:sz w:val="24"/>
          <w:szCs w:val="24"/>
        </w:rPr>
        <w:t>связи</w:t>
      </w:r>
      <w:proofErr w:type="gramEnd"/>
      <w:r w:rsidRPr="005F604F">
        <w:rPr>
          <w:rFonts w:ascii="Times New Roman" w:eastAsia="Calibri" w:hAnsi="Times New Roman" w:cs="Times New Roman"/>
          <w:bCs/>
          <w:sz w:val="24"/>
          <w:szCs w:val="24"/>
        </w:rPr>
        <w:t xml:space="preserve"> с чем отпала необходимость строительства водонапорной башни</w:t>
      </w:r>
      <w:r w:rsidRPr="005F604F">
        <w:rPr>
          <w:rFonts w:ascii="Times New Roman" w:hAnsi="Times New Roman" w:cs="Times New Roman"/>
          <w:bCs/>
          <w:sz w:val="24"/>
          <w:szCs w:val="24"/>
        </w:rPr>
        <w:t>.</w:t>
      </w:r>
    </w:p>
    <w:p w:rsidR="00711DEA" w:rsidRPr="005F604F" w:rsidRDefault="00711DEA" w:rsidP="005F604F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04F">
        <w:rPr>
          <w:rFonts w:ascii="Times New Roman" w:eastAsia="Calibri" w:hAnsi="Times New Roman" w:cs="Times New Roman"/>
          <w:sz w:val="24"/>
          <w:szCs w:val="24"/>
        </w:rPr>
        <w:t>Подводя итог анализу выполнения инвестиционной программы можно определить основные из них:</w:t>
      </w:r>
    </w:p>
    <w:p w:rsidR="00711DEA" w:rsidRPr="005F604F" w:rsidRDefault="00711DEA" w:rsidP="005F604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04F">
        <w:rPr>
          <w:rFonts w:ascii="Times New Roman" w:eastAsia="Calibri" w:hAnsi="Times New Roman" w:cs="Times New Roman"/>
          <w:sz w:val="24"/>
          <w:szCs w:val="24"/>
        </w:rPr>
        <w:t xml:space="preserve">Повышение надежности работы систем водоснабжения в соответствии с нормативными требованиями; </w:t>
      </w:r>
    </w:p>
    <w:p w:rsidR="00711DEA" w:rsidRPr="005F604F" w:rsidRDefault="00711DEA" w:rsidP="005F604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04F">
        <w:rPr>
          <w:rFonts w:ascii="Times New Roman" w:eastAsia="Calibri" w:hAnsi="Times New Roman" w:cs="Times New Roman"/>
          <w:sz w:val="24"/>
          <w:szCs w:val="24"/>
        </w:rPr>
        <w:t>Повышение качества предоставления услуг водоснабжения;</w:t>
      </w:r>
    </w:p>
    <w:p w:rsidR="00711DEA" w:rsidRPr="005F604F" w:rsidRDefault="00711DEA" w:rsidP="005F604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eastAsia="Calibri" w:hAnsi="Times New Roman" w:cs="Times New Roman"/>
          <w:sz w:val="24"/>
          <w:szCs w:val="24"/>
        </w:rPr>
        <w:t>Обеспечение доступности для потребителей товаров и услуг МКП «ПЦКУ»</w:t>
      </w:r>
    </w:p>
    <w:p w:rsidR="00711DEA" w:rsidRPr="005F604F" w:rsidRDefault="00711DEA" w:rsidP="005F604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604F">
        <w:rPr>
          <w:rFonts w:ascii="Times New Roman" w:eastAsia="Calibri" w:hAnsi="Times New Roman" w:cs="Times New Roman"/>
          <w:sz w:val="24"/>
          <w:szCs w:val="24"/>
        </w:rPr>
        <w:t>Инвестиционной программой была предусмотрена модернизация основных фондов и, соответственно, уменьшение процента потерь. В 2014 году проанализировать данный раздел не представляется возможным, так как  актуальный процент потерь зависит не только от износа сетей, но в большей степени от достоверности учета подъёма и потребления воды.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Количество аварий в процессе эксплуатации системы водоснабжения  в течение 2014 года не превысило норматив-индикатор, установленный Методическими рекомендациями ИЭ ЖКХ (0.4-0.5 аварий на </w:t>
      </w:r>
      <w:smartTag w:uri="urn:schemas-microsoft-com:office:smarttags" w:element="metricconverter">
        <w:smartTagPr>
          <w:attr w:name="ProductID" w:val="1 километр"/>
        </w:smartTagPr>
        <w:r w:rsidRPr="005F604F">
          <w:rPr>
            <w:rFonts w:ascii="Times New Roman" w:hAnsi="Times New Roman" w:cs="Times New Roman"/>
            <w:sz w:val="24"/>
            <w:szCs w:val="24"/>
          </w:rPr>
          <w:t>1 километр</w:t>
        </w:r>
      </w:smartTag>
      <w:r w:rsidRPr="005F604F">
        <w:rPr>
          <w:rFonts w:ascii="Times New Roman" w:hAnsi="Times New Roman" w:cs="Times New Roman"/>
          <w:sz w:val="24"/>
          <w:szCs w:val="24"/>
        </w:rPr>
        <w:t xml:space="preserve"> сети). Аварийные ситуации устраняются в кратчайшие сроки.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lastRenderedPageBreak/>
        <w:t>Обеспеченность приборами учета в 2014 году составила  80% всего объёма потребления. Необходимо отметить, что в данном случае речь идет об индивидуальных приборах учета, а не об общедомовых. В 2014 году происходила не установка, а демонтаж общедомовых приборов.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действия инвестиционной программы заметно увеличение физической доступности водоснабжения для населения. Планируемые мероприятия по модернизации объектов водоснабжения позволили к концу 2014 года достичь уровня этого показателя в размере 96%. Было оказано содействие по проведению водопроводных сетей в частные подворья. В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с чем уменьшено количество уличных водоразборных колонок.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За период  2014 года  увеличение соответствия установленного тарифа понесенным затратам составило 2,3%. 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Сбалансированность доходов и расходов МКП «Подгоренский центр коммунальных услуг» должна быть достигнута с помощью оптимизации расходов предприятия на подержание инфраструктуры в работоспособном состоянии, а также  экономически обоснованного тарифа на водоснабжение, отвечающего критериям доступности для потребителей, что достигается  модернизацией водоводов, выполненной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инвестиционной программы в 2014 году.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По услуге водоснабжение в 2014 году сложился убыток в размере 40,29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Недополученный доход за счет снятия общедомовых приборов учета составил 887,8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ВОДООТВЕДЕНИЕ</w:t>
      </w:r>
    </w:p>
    <w:p w:rsidR="00711DEA" w:rsidRPr="005F604F" w:rsidRDefault="00711DEA" w:rsidP="00711DEA">
      <w:pPr>
        <w:spacing w:after="12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(водоотведение и очистка сточных вод)</w:t>
      </w:r>
    </w:p>
    <w:tbl>
      <w:tblPr>
        <w:tblpPr w:leftFromText="180" w:rightFromText="180" w:bottomFromText="200" w:vertAnchor="text" w:horzAnchor="margin" w:tblpX="-34" w:tblpY="206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829"/>
        <w:gridCol w:w="1275"/>
        <w:gridCol w:w="1276"/>
        <w:gridCol w:w="1417"/>
        <w:gridCol w:w="1416"/>
      </w:tblGrid>
      <w:tr w:rsidR="00711DEA" w:rsidRPr="005F604F" w:rsidTr="00711DEA">
        <w:trPr>
          <w:trHeight w:val="141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Показатели производственной  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Факт 2013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План  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ind w:left="22" w:right="-108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ind w:left="22" w:right="-108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711DEA" w:rsidRPr="005F604F" w:rsidTr="00711DEA">
        <w:trPr>
          <w:trHeight w:val="27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210"/>
                <w:tab w:val="center" w:pos="1549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210"/>
                <w:tab w:val="center" w:pos="1549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210"/>
                <w:tab w:val="center" w:pos="1549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1DEA" w:rsidRPr="005F604F" w:rsidTr="00711DEA">
        <w:trPr>
          <w:trHeight w:val="43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Объем отведенных 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208,99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241,32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181,38</w:t>
            </w:r>
          </w:p>
        </w:tc>
      </w:tr>
      <w:tr w:rsidR="00711DEA" w:rsidRPr="005F604F" w:rsidTr="00711DEA">
        <w:trPr>
          <w:trHeight w:val="73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Объем стоков, пропущенных через очистные сооружения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208,99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241,32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181,38</w:t>
            </w:r>
          </w:p>
        </w:tc>
      </w:tr>
      <w:tr w:rsidR="00711DEA" w:rsidRPr="005F604F" w:rsidTr="00711DEA">
        <w:trPr>
          <w:trHeight w:val="92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Объем реализации товаров и услуг, в том числе по потребителям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203,46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235,7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178,91</w:t>
            </w:r>
          </w:p>
        </w:tc>
      </w:tr>
      <w:tr w:rsidR="00711DEA" w:rsidRPr="005F604F" w:rsidTr="00711DEA">
        <w:trPr>
          <w:trHeight w:val="54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-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159,34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192,43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129,36</w:t>
            </w:r>
          </w:p>
        </w:tc>
      </w:tr>
      <w:tr w:rsidR="00711DEA" w:rsidRPr="005F604F" w:rsidTr="00711DEA">
        <w:trPr>
          <w:trHeight w:val="55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- бюджетным потребителям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29,34</w:t>
            </w:r>
          </w:p>
        </w:tc>
      </w:tr>
      <w:tr w:rsidR="00711DEA" w:rsidRPr="005F604F" w:rsidTr="00711DEA">
        <w:trPr>
          <w:trHeight w:val="26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- прочим потребителям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11,79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</w:tr>
    </w:tbl>
    <w:p w:rsidR="00711DEA" w:rsidRPr="005F604F" w:rsidRDefault="00711DEA" w:rsidP="005F60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Уменьшение объемов по водоотведению объясняются уменьшением объёмов по водоснабжению, причины которых указаны выше. Уменьшение объёмов потребления по категории населения по сравнению с фактом 2013 года составило 63,07 тысяч м3 воды.</w:t>
      </w:r>
    </w:p>
    <w:p w:rsidR="00711DEA" w:rsidRPr="005F604F" w:rsidRDefault="00711DEA" w:rsidP="005F60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В 2014 году запланировано израсходовать 1071,28 тыс. 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кВтч</w:t>
      </w:r>
      <w:proofErr w:type="spellEnd"/>
      <w:proofErr w:type="gramStart"/>
      <w:r w:rsidRPr="005F60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ли 4,44 кВт.  ч. на водоотведение и очистку </w:t>
      </w:r>
      <w:smartTag w:uri="urn:schemas-microsoft-com:office:smarttags" w:element="metricconverter">
        <w:smartTagPr>
          <w:attr w:name="ProductID" w:val="1 м3"/>
        </w:smartTagPr>
        <w:r w:rsidRPr="005F604F">
          <w:rPr>
            <w:rFonts w:ascii="Times New Roman" w:hAnsi="Times New Roman" w:cs="Times New Roman"/>
            <w:sz w:val="24"/>
            <w:szCs w:val="24"/>
          </w:rPr>
          <w:t>1 м3</w:t>
        </w:r>
      </w:smartTag>
      <w:r w:rsidRPr="005F604F">
        <w:rPr>
          <w:rFonts w:ascii="Times New Roman" w:hAnsi="Times New Roman" w:cs="Times New Roman"/>
          <w:sz w:val="24"/>
          <w:szCs w:val="24"/>
        </w:rPr>
        <w:t xml:space="preserve"> стоков. Фактически за 2014 год израсходовано 937,821 тыс.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кВтч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., удельный расход составил 5,17 кВт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. на водоотведение и очистку </w:t>
      </w:r>
      <w:smartTag w:uri="urn:schemas-microsoft-com:office:smarttags" w:element="metricconverter">
        <w:smartTagPr>
          <w:attr w:name="ProductID" w:val="1 м3"/>
        </w:smartTagPr>
        <w:r w:rsidRPr="005F604F">
          <w:rPr>
            <w:rFonts w:ascii="Times New Roman" w:hAnsi="Times New Roman" w:cs="Times New Roman"/>
            <w:sz w:val="24"/>
            <w:szCs w:val="24"/>
          </w:rPr>
          <w:t>1 м3</w:t>
        </w:r>
      </w:smartTag>
      <w:r w:rsidRPr="005F604F">
        <w:rPr>
          <w:rFonts w:ascii="Times New Roman" w:hAnsi="Times New Roman" w:cs="Times New Roman"/>
          <w:sz w:val="24"/>
          <w:szCs w:val="24"/>
        </w:rPr>
        <w:t xml:space="preserve"> стоков.  Резкий рост энергоёмкости обусловлен снижением объёмов производства услуги, а так же использованием оборудования, предназначенного для очистки стоков больших объёмов. В связи с тем, что оборудование работает без нагрузки, коэффициент полезного действия равен примерно 0,65.  В 2014 году была установлена воздуходувка меньшей мощностью, но из-за изношенности остального оборудования и несоответствия уровней нагрузки, не удалость в полной мере наладить процесс насыщения кислородом в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аэротенках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, перемешивание и минерализацию илового осадка,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взмульчивание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в песколовках.</w:t>
      </w:r>
    </w:p>
    <w:p w:rsidR="00711DEA" w:rsidRPr="005F604F" w:rsidRDefault="00711DEA" w:rsidP="005F604F">
      <w:pPr>
        <w:tabs>
          <w:tab w:val="left" w:pos="35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    Весь  текущий ремонт и  обслуживание систем водоотведения за 2014 год осуществлялся собственными силами предприятия, в затраты относились расходы только на приобретение материалов. </w:t>
      </w:r>
    </w:p>
    <w:p w:rsidR="00711DEA" w:rsidRPr="005F604F" w:rsidRDefault="00711DEA" w:rsidP="005F604F">
      <w:pPr>
        <w:tabs>
          <w:tab w:val="left" w:pos="35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 Численность основных рабочих установлена на основании производственной необходимости и реальной возможности  предприятия. Затраты на оплату труда определены в соответствии с утвержденным штатным расписанием, положением об оплате труда и положением о премировании работников МКП «Подгоренский центр коммунальных услуг» </w:t>
      </w:r>
    </w:p>
    <w:p w:rsidR="00711DEA" w:rsidRPr="005F604F" w:rsidRDefault="00711DEA" w:rsidP="005F604F">
      <w:pPr>
        <w:tabs>
          <w:tab w:val="left" w:pos="351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    При плановом фонде оплаты труда на 2014 год 2569,92 тыс. руб. фактически выплачено 2735,49 тыс. руб. Данный перерасход объясняется тем, что фактически в течение 2014 года выплачивалась разовая премия к профессиональным праздникам (дню коммунальника, дню водителя, восьмому марта, дню защитника Отечества)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коллективного договора и положения об оплате труда.   Средняя зарплата при плане 13619,79 руб. составила 14082,6 руб. </w:t>
      </w: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  В 2014 году химические и бактериологические анализы осуществлялись ФБУ «ЦЛАТИ по ЦФО» с периодичностью один раз в квартал. Превышение гигиенических нормативов в 2014 году в пределах допустимого значения, при несоответствиях сразу предприятием применялись меры по стабилизации. </w:t>
      </w: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lastRenderedPageBreak/>
        <w:t xml:space="preserve">      В 2014 году закончены работы по инвестиционной программе:</w:t>
      </w: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На 01.01.2014г остаток перерасходованных собственных средств составил 92,07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Собрано собственных средств (инвестиционная надбавка) в 2014 году – 132,33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Получено бюджетных средств в 2014 году – 400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Всего инвестиционных средств на конец 2014 года  - </w:t>
      </w:r>
      <w:r w:rsidRPr="005F604F">
        <w:rPr>
          <w:rFonts w:ascii="Times New Roman" w:hAnsi="Times New Roman" w:cs="Times New Roman"/>
          <w:b/>
          <w:sz w:val="24"/>
          <w:szCs w:val="24"/>
        </w:rPr>
        <w:t>440,26</w:t>
      </w:r>
      <w:r w:rsidRPr="005F6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Выполнено работ в 2014 году на сумму 440,73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</w:t>
      </w:r>
    </w:p>
    <w:p w:rsidR="00711DEA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Выполнено работ в 2014 году (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):</w:t>
      </w:r>
    </w:p>
    <w:p w:rsidR="005F604F" w:rsidRPr="005F604F" w:rsidRDefault="005F604F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60" w:type="dxa"/>
        <w:tblInd w:w="93" w:type="dxa"/>
        <w:tblLook w:val="04A0" w:firstRow="1" w:lastRow="0" w:firstColumn="1" w:lastColumn="0" w:noHBand="0" w:noVBand="1"/>
      </w:tblPr>
      <w:tblGrid>
        <w:gridCol w:w="5854"/>
        <w:gridCol w:w="985"/>
        <w:gridCol w:w="236"/>
        <w:gridCol w:w="885"/>
      </w:tblGrid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самотечного коллектора </w:t>
            </w:r>
            <w:proofErr w:type="spell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сенина</w:t>
            </w:r>
            <w:proofErr w:type="spellEnd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д.13-9                     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433,3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прокол под прокладку трубопровода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132,5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Кольца 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ж/б</w:t>
            </w:r>
            <w:proofErr w:type="gram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19,125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Крышки 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ж/б</w:t>
            </w:r>
            <w:proofErr w:type="gram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78,06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колодцев канализационных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64,628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Разборка бетонных оснований, разработка грунта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99,687</w:t>
            </w:r>
          </w:p>
        </w:tc>
      </w:tr>
      <w:tr w:rsidR="00711DEA" w:rsidRPr="005F604F" w:rsidTr="00711DEA">
        <w:trPr>
          <w:trHeight w:val="300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Укладка трубопроводов канализации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40,729</w:t>
            </w:r>
          </w:p>
        </w:tc>
      </w:tr>
      <w:tr w:rsidR="00711DEA" w:rsidRPr="005F604F" w:rsidTr="00711DEA">
        <w:trPr>
          <w:trHeight w:val="226"/>
        </w:trPr>
        <w:tc>
          <w:tcPr>
            <w:tcW w:w="5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1DEA" w:rsidRPr="005F604F" w:rsidTr="00711DEA">
        <w:trPr>
          <w:trHeight w:val="345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604F" w:rsidRPr="005F604F" w:rsidTr="00711DEA">
        <w:trPr>
          <w:trHeight w:val="345"/>
        </w:trPr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04F" w:rsidRPr="005F604F" w:rsidRDefault="005F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04F" w:rsidRPr="005F604F" w:rsidRDefault="005F60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604F" w:rsidRPr="005F604F" w:rsidRDefault="005F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604F" w:rsidRPr="005F604F" w:rsidRDefault="005F6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11DEA" w:rsidRPr="005F604F" w:rsidRDefault="00711DEA" w:rsidP="005F604F">
      <w:pPr>
        <w:tabs>
          <w:tab w:val="left" w:pos="672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eastAsia="Calibri" w:hAnsi="Times New Roman" w:cs="Times New Roman"/>
          <w:bCs/>
          <w:sz w:val="24"/>
          <w:szCs w:val="24"/>
        </w:rPr>
        <w:t xml:space="preserve">       </w:t>
      </w:r>
      <w:r w:rsidRPr="005F604F">
        <w:rPr>
          <w:rFonts w:ascii="Times New Roman" w:hAnsi="Times New Roman" w:cs="Times New Roman"/>
          <w:sz w:val="24"/>
          <w:szCs w:val="24"/>
        </w:rPr>
        <w:t xml:space="preserve">Сбалансированность доходов и расходов МКП «Подгоренский центр коммунальных услуг» должна быть достигнута с помощью оптимизации расходов предприятия на подержание инфраструктуры в работоспособном состоянии, а также  экономически обоснованного тарифа на водоотведение, отвечающего критериям доступности для потребителей, что достигается  модернизацией водоотводов, выполненной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инвестиционной программы в 2014 году.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По услуге водоотведение в 2014 году сложился убыток в размере 1336,063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Ключевой проблемой производства услуги по очистке сточных вод в Подгоренском городском поселении является то, что данные очистные сооружения строились с расчетом очистки промышленных стоков. Проектная мощность ОС составляет ориентировочно 1500 тыс. м3 стоков в год. В результате постепенного свертывания деятельности производственных предприятий в Подгоренском муниципальном районе, объем стоков соответственно снижался. В настоящее время очистные сооружения работают в основном на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хозбытовые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и фекальные стоки от населения, объектов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соцкульбыта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и различных предпринимателей.</w:t>
      </w:r>
    </w:p>
    <w:p w:rsidR="00711DEA" w:rsidRPr="005F604F" w:rsidRDefault="00711DEA" w:rsidP="005F604F">
      <w:pPr>
        <w:pStyle w:val="Standard"/>
        <w:spacing w:line="360" w:lineRule="auto"/>
        <w:ind w:firstLine="708"/>
        <w:jc w:val="both"/>
      </w:pPr>
      <w:r w:rsidRPr="005F604F">
        <w:lastRenderedPageBreak/>
        <w:t xml:space="preserve">Следующей по значимости проблемой </w:t>
      </w:r>
      <w:proofErr w:type="spellStart"/>
      <w:r w:rsidRPr="005F604F">
        <w:t>затратности</w:t>
      </w:r>
      <w:proofErr w:type="spellEnd"/>
      <w:r w:rsidRPr="005F604F">
        <w:t xml:space="preserve"> содержания очистных сооружений является практически полная изношенность оборудования. На сегодняшний день на очистных сооружениях механическая очистка стоков практически отсутствует (вышли из строя дробилки, шибера,  железобетонные лотки). Биологическая очистка в связи с малыми объёмами поступающих сточных вод полностью не загружена, что не способствует нормальному развитию соответствующих микроорганизмов. Аэраторы требуют замены </w:t>
      </w:r>
      <w:proofErr w:type="gramStart"/>
      <w:r w:rsidRPr="005F604F">
        <w:t>на</w:t>
      </w:r>
      <w:proofErr w:type="gramEnd"/>
      <w:r w:rsidRPr="005F604F">
        <w:t xml:space="preserve"> более современные. Весь блок биологической очистки требует капитального ремонта. На иловых площадках распределительные лотки разрушены, дренажная система требует прочистки и капитального ремонта. Биологические пруды полностью выработали свой ресурс.</w:t>
      </w:r>
    </w:p>
    <w:p w:rsidR="00711DEA" w:rsidRPr="005F604F" w:rsidRDefault="00711DEA" w:rsidP="00711DEA">
      <w:pPr>
        <w:pStyle w:val="Standard"/>
        <w:ind w:firstLine="708"/>
        <w:jc w:val="both"/>
      </w:pPr>
    </w:p>
    <w:p w:rsidR="00711DEA" w:rsidRPr="005F604F" w:rsidRDefault="00711DEA" w:rsidP="00711DEA">
      <w:pPr>
        <w:spacing w:after="0" w:line="240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ВЫВОЗ ЖБО и очистка сточных вод</w:t>
      </w:r>
    </w:p>
    <w:p w:rsidR="00711DEA" w:rsidRPr="005F604F" w:rsidRDefault="00711DEA" w:rsidP="00711DE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34" w:tblpY="206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829"/>
        <w:gridCol w:w="1275"/>
        <w:gridCol w:w="1276"/>
        <w:gridCol w:w="1417"/>
        <w:gridCol w:w="1416"/>
      </w:tblGrid>
      <w:tr w:rsidR="00711DEA" w:rsidRPr="005F604F" w:rsidTr="00711DEA">
        <w:trPr>
          <w:trHeight w:val="98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Показатели производственной  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Факт 2013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План  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ind w:left="22" w:right="-108"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Факт 2014 год</w:t>
            </w:r>
          </w:p>
        </w:tc>
      </w:tr>
      <w:tr w:rsidR="00711DEA" w:rsidRPr="005F604F" w:rsidTr="00711DEA">
        <w:trPr>
          <w:trHeight w:val="27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210"/>
                <w:tab w:val="center" w:pos="1549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210"/>
                <w:tab w:val="center" w:pos="1549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210"/>
                <w:tab w:val="center" w:pos="1549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1DEA" w:rsidRPr="005F604F" w:rsidTr="00711DEA">
        <w:trPr>
          <w:trHeight w:val="43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Объем стоков, пропущенных через очистные сооружения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232,309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194,64</w:t>
            </w:r>
          </w:p>
        </w:tc>
      </w:tr>
      <w:tr w:rsidR="00711DEA" w:rsidRPr="005F604F" w:rsidTr="00711DEA">
        <w:trPr>
          <w:trHeight w:val="73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Расход на нужды предприятия (водоотведение)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217,893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241,32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181,38</w:t>
            </w:r>
          </w:p>
        </w:tc>
      </w:tr>
      <w:tr w:rsidR="00711DEA" w:rsidRPr="005F604F" w:rsidTr="00711DEA">
        <w:trPr>
          <w:trHeight w:val="92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Принято сточных вод            (вывоз ЖБО)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5F604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14,416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18,68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tabs>
                <w:tab w:val="left" w:pos="3510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13,26</w:t>
            </w:r>
          </w:p>
        </w:tc>
      </w:tr>
    </w:tbl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Вывоз ЖБО осуществляется из выгребных ям жилфонда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сл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одгорное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, частных лиц и организаций. Уменьшение объёмов по вывозу ЖБО и очистке сточных вод объясняется тем, что в 2014 году уменьшилось количество заявок, так как выросла конкуренция по оказанию данной услуги. Частная ассенизационная машина осуществляет незаконную выкачку из выгребных ям, но не производит их сброс на очистные сооружения.  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По услуге вывоз ЖБО в 2014 году сложился убыток в размере 1,55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1DEA" w:rsidRPr="005F604F" w:rsidRDefault="00711DEA" w:rsidP="005F604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ОТОПЛЕНИЕ</w:t>
      </w:r>
    </w:p>
    <w:p w:rsidR="00711DEA" w:rsidRPr="005F604F" w:rsidRDefault="00711DEA" w:rsidP="005F604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С апреля 2014 года МКП «ПЦКУ» осуществляет производство, транспортировку и сбыт тепла собственными пятью котельными. В 2014 году введена в эксплуатацию блочная котельная  для отопления западной части поселка. До этого отопление этой части </w:t>
      </w:r>
      <w:r w:rsidRPr="005F604F">
        <w:rPr>
          <w:rFonts w:ascii="Times New Roman" w:hAnsi="Times New Roman" w:cs="Times New Roman"/>
          <w:sz w:val="24"/>
          <w:szCs w:val="24"/>
        </w:rPr>
        <w:lastRenderedPageBreak/>
        <w:t>поселка осуществлялось котельной ЗАО «Подгоренский цементник». По концу отопительного периода 2013-2014 года помимо обязательного текущего ремонта были проведены капитальные ремонтные работы котельных: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Котельная №1 – проведена полная модернизация котла №3, проведены режимно-наладочные работы, заменен газовый счетчик, регулятор давления, на все три котла приобретены и заменены газовые горелки;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Котельная №4 – заменены два сетевых насоса, проведена полная реконструкция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химводоочистки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и запорной арматуры;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Котельная №12 – проведена полная замена водопровода и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химводоочистки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, запорной арматуры, капитальный ремонт котлов (пять штук).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Проведён капитальный ремонт теплосетей: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Котельная №12 - заменены участки трубопроводов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сенина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, 3(диаметр 63 (полипропилен) – 35 метров (в однотрубном исчислении)), ул.Ленина,д.38 (диаметр 50(полипропилен) – 18 метров в однотрубном исчислении)), ул. Ленина,д,42 – диаметр 219 (стальная) – 33 метра в однотрубном исчислении),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, д.34 – диаметр 159 (стальная) – 34 метра в однотрубном исчислении;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Котельная №18 – полностью заменены трубопроводы теплосети поселка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Цемзавод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, дома 12,5,6 общей протяженностью 200 метров в двухтрубном исчислении, а так же участок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енина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, 2а – 150 метров на  полипропилен 150 метров в двухтрубном исчислении.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Котельная №7 – заменен подвод теплотрассы к дому №35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окзальная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(участок стальной трубы диаметром 89 протяженностью 80 метров в двухтрубном исчислении).</w:t>
      </w:r>
    </w:p>
    <w:p w:rsidR="00711DEA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За счет проведенных капитальных ремонтов котельных сложилась экономия расходов на энергетические ресурсы:</w:t>
      </w:r>
    </w:p>
    <w:p w:rsidR="005F604F" w:rsidRPr="005F604F" w:rsidRDefault="005F604F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11DEA" w:rsidRPr="005F604F" w:rsidTr="00711DE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Расходы на энергетические ресурсы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План 2014 год,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Факт 2014 год,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1DEA" w:rsidRPr="005F604F" w:rsidTr="00711DE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2454,925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2383,53</w:t>
            </w:r>
          </w:p>
        </w:tc>
      </w:tr>
      <w:tr w:rsidR="00711DEA" w:rsidRPr="005F604F" w:rsidTr="00711DE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18409,29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17873,82</w:t>
            </w:r>
          </w:p>
        </w:tc>
      </w:tr>
      <w:tr w:rsidR="00711DEA" w:rsidRPr="005F604F" w:rsidTr="00711DE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Холодная вода на подпитку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306,52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122,65</w:t>
            </w:r>
          </w:p>
        </w:tc>
      </w:tr>
      <w:tr w:rsidR="00711DEA" w:rsidRPr="005F604F" w:rsidTr="00711DE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272,88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101,54</w:t>
            </w:r>
          </w:p>
        </w:tc>
      </w:tr>
    </w:tbl>
    <w:p w:rsidR="00711DEA" w:rsidRPr="005F604F" w:rsidRDefault="00711DEA" w:rsidP="00711DE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604F" w:rsidRDefault="005F604F" w:rsidP="00711DE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В общем по услуге отопление сложилась прибыль в размере 784,334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</w:t>
      </w:r>
    </w:p>
    <w:p w:rsidR="00711DEA" w:rsidRPr="005F604F" w:rsidRDefault="00711DEA" w:rsidP="00711DEA">
      <w:pPr>
        <w:spacing w:after="0" w:line="240" w:lineRule="atLeas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ВЫВОЗ ТБО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Вывоз ТБО осуществлялся в 2014 году на территории Подгоренского городского поселения двумя мусоровозами с контейнерных площадок и самосвалом (тракторами) по </w:t>
      </w:r>
      <w:r w:rsidRPr="005F604F">
        <w:rPr>
          <w:rFonts w:ascii="Times New Roman" w:hAnsi="Times New Roman" w:cs="Times New Roman"/>
          <w:sz w:val="24"/>
          <w:szCs w:val="24"/>
        </w:rPr>
        <w:lastRenderedPageBreak/>
        <w:t xml:space="preserve">улицам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согласно графика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. Фактический объём собранного и вывезенного мусора превысил плановый в 1,2 раза. В 2014 году вывезено ТБО 14271,53 м3.</w:t>
      </w:r>
    </w:p>
    <w:p w:rsidR="00711DEA" w:rsidRPr="005F604F" w:rsidRDefault="00711DEA" w:rsidP="005F604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СПИСОК КОНТЕЙНЕРНЫХ ПЛОЩАДОК </w:t>
      </w:r>
    </w:p>
    <w:p w:rsidR="00711DEA" w:rsidRPr="005F604F" w:rsidRDefault="00711DEA" w:rsidP="005F604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и оснащенность их контейнерами.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Первомайская (у ВКД  Цемзавода), количество контейнеров – 4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Первомайская, 95,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Озерная, 49 , 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Озерная, 27, 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Победа, количество контейнеров – 4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Коммунальная, количество контейнеров – 5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Первомайска, 46 , количество контейнеров – 2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пер. Зеленый, количество контейнеров – 4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пер. Аптечный, 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Подгоренский, ул. Свобода, количество контейнеров – 6 штук;</w:t>
      </w:r>
      <w:proofErr w:type="gramEnd"/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F604F">
        <w:rPr>
          <w:rFonts w:ascii="Times New Roman" w:hAnsi="Times New Roman" w:cs="Times New Roman"/>
          <w:sz w:val="24"/>
          <w:szCs w:val="24"/>
        </w:rPr>
        <w:t>Контейнерная площадка, расположенная по адресу: сл. Подгорное, ул. Вокзальная, 201, количество контейнеров – 3 штуки;</w:t>
      </w:r>
      <w:proofErr w:type="gramEnd"/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F604F">
        <w:rPr>
          <w:rFonts w:ascii="Times New Roman" w:hAnsi="Times New Roman" w:cs="Times New Roman"/>
          <w:sz w:val="24"/>
          <w:szCs w:val="24"/>
        </w:rPr>
        <w:t>Контейнерная площадка, расположенная по адресу: сл. Подгорное, ул. Вокзальная, 192, количество контейнеров – 4 штуки;</w:t>
      </w:r>
      <w:proofErr w:type="gramEnd"/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Контейнерная площадка, расположенная по адресу: сл. Подгорное, ул. Свободы, (детский сад № 3), 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Вокзальная,55,количество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Подгоренский, ул.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Вокзальная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,35, количество контейнеров – 6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lastRenderedPageBreak/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пос. Цемзавода,16,количество контейнеров – 7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Горная, количество контейнеров – 6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Подгоренский, ул.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Кирова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оличество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Подгоренский, ул. Кирова (юг), количество контейнеров – 2 штуки;</w:t>
      </w:r>
      <w:proofErr w:type="gramEnd"/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Новопавловка, количество контейнеров – 4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Подгоренский, ул. Новопавловка (юг), количество контейнеров – 4 штуки;</w:t>
      </w:r>
      <w:proofErr w:type="gramEnd"/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енина,26, количество контейнеров – 14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Строителей, количество контейнеров – 10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Калинина,19 (около больницы), количество контейнеров – 12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Полевая, количество контейнеров – 5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Северная, количество контейнеров – 4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Подгоренский,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олнечная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, количество контейнеров – 2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F604F">
        <w:rPr>
          <w:rFonts w:ascii="Times New Roman" w:hAnsi="Times New Roman" w:cs="Times New Roman"/>
          <w:sz w:val="24"/>
          <w:szCs w:val="24"/>
        </w:rPr>
        <w:t>Контейнерная площадка, расположенная по адресу: сл. Подгорное, ул. Солнечная (колхоз), количество контейнеров – 2 штуки;</w:t>
      </w:r>
      <w:proofErr w:type="gramEnd"/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Кооперативная, 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Луговая,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Солнечная, 34, количество контейнеров – 2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Пушкина, 4, количество контейнеров – 4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lastRenderedPageBreak/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Гагарина, количество контейнеров – 5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ул. Кирова, количество контейнеров – 7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 Подгоренский, пос. Цемзавода, (КНС) 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Подгоренский, ул. Озерная,31,  количество контейнеров – 1 штуки;</w:t>
      </w:r>
      <w:proofErr w:type="gramEnd"/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Кладбище, количество контейнеров – 4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ЗАО «Подгоренский цементник», количество контейнеров – 19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ООО «Семейная аптека», количество контейнеров – 1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Костомаровский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храм, количество контейнеров – 7 штук;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Дом престарелых пос. Опыт, 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Район пруда по ул. Строителей, количество контейнеров – 1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ОАО «Подгоренское ПАТП», количество контейнеров – 2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ОАО «Подгоренское ХПП», количество контейнеров – 2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Контейнерная площадка, расположенная по адресу: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Подгоренский, ул. Звездная,  количество контейнеров – 2 штуки;</w:t>
      </w:r>
      <w:proofErr w:type="gramEnd"/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Пляж в с.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Колодежное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, 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ЗАО «Тандер»,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ООО «Викки»,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ИП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Украинский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ООО «ТИССА», количество контейнеров – 2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Центр занятости населения,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ООО «Массив»,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ООО «РЕМТЕХНИКА»,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Пожарная часть, количество контейнеров – 3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ОВД, количество контейнеров – 2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Подгоренский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райгаз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Пенсионный фонд, количество контейнеров – 2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Магазин «Пятерочка», ул. Есенина, количество контейнеров – 2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Контейнер для собственных нужд, - 1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Магазин «Пятерочка», ул. Вокзальная, 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АСЗ в Подгоренском всего 4,  количество контейнеров – 4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lastRenderedPageBreak/>
        <w:t xml:space="preserve"> Дом интернат для несовершеннолетних сл.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Сагуны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/д вокзал, количество контейнеров – 1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ИП Николенко,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ИП Слюсарев, количество контейнеров – 1 штуки;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Подгоренский почтамт,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ЗАО фирма «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Венчур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», количество контейнеров – 1 штука;</w:t>
      </w:r>
    </w:p>
    <w:p w:rsidR="00711DEA" w:rsidRPr="005F604F" w:rsidRDefault="00711DEA" w:rsidP="005F604F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Энергомонтаж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, количество контейнеров – 1 штука.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2014 года предприятием проводилась работа по выявлению физических лиц и индивидуальных предпринимателей, не заключивших договорные отношения по услуге вывоз ТБО, в результате было добавлено более двадцати контрагентов индивидуальных предпринимателей и юридических лиц. Сложнее обстановка складывается с физическими лицами, но с ними ведётся работа совместно с Администрацией городского поселения.</w:t>
      </w:r>
    </w:p>
    <w:p w:rsidR="00711DEA" w:rsidRPr="005F604F" w:rsidRDefault="00711DEA" w:rsidP="005F60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В общем по услуге вывоз ТБО сложилась прибыль в размере 270,533 </w:t>
      </w: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>.</w:t>
      </w:r>
    </w:p>
    <w:p w:rsidR="00711DEA" w:rsidRPr="005F604F" w:rsidRDefault="00711DEA" w:rsidP="005F604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БЛАГОУСТРОЙСТВО</w:t>
      </w:r>
    </w:p>
    <w:p w:rsidR="00711DEA" w:rsidRPr="005F604F" w:rsidRDefault="00711DEA" w:rsidP="005F60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 2014 году выполнялись работы по следующим контрактам:</w:t>
      </w:r>
    </w:p>
    <w:p w:rsidR="00711DEA" w:rsidRPr="005F604F" w:rsidRDefault="00711DEA" w:rsidP="005F604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Выполнение работ по зимнему содержанию дорог на территории Подгоренского городского поселения.</w:t>
      </w:r>
    </w:p>
    <w:p w:rsidR="00711DEA" w:rsidRPr="005F604F" w:rsidRDefault="00711DEA" w:rsidP="005F604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Выполнение работ по благоустройству и содержанию территорий Подгоренского городского поселения №95 от 26.05.2014г.</w:t>
      </w:r>
    </w:p>
    <w:p w:rsidR="00711DEA" w:rsidRPr="005F604F" w:rsidRDefault="00711DEA" w:rsidP="005F604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Выполнение работ по благоустройству и содержанию территорий Подгоренского городского поселения №1025 от 02.07.2014г</w:t>
      </w:r>
    </w:p>
    <w:p w:rsidR="00711DEA" w:rsidRPr="005F604F" w:rsidRDefault="00711DEA" w:rsidP="005F604F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Список выполненных мероприятий по благоустройству на территории Подгоренского городского поселения за 2014г.</w:t>
      </w:r>
    </w:p>
    <w:tbl>
      <w:tblPr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936"/>
        <w:gridCol w:w="2703"/>
        <w:gridCol w:w="2083"/>
      </w:tblGrid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ind w:right="5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Дата оплаты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31.01.2014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Посыпка тротуаров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противогололедной</w:t>
            </w:r>
            <w:proofErr w:type="spell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смесью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Подгоренский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49854,00</w:t>
            </w:r>
          </w:p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11.03.14</w:t>
            </w:r>
          </w:p>
        </w:tc>
      </w:tr>
      <w:tr w:rsidR="00711DEA" w:rsidRPr="005F604F" w:rsidTr="00711DEA">
        <w:trPr>
          <w:trHeight w:val="25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31.01.2014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новогодней ели, снятие баннеров и </w:t>
            </w:r>
            <w:r w:rsidRPr="005F6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новогодних украшений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38526,00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11.03.14</w:t>
            </w:r>
          </w:p>
        </w:tc>
      </w:tr>
      <w:tr w:rsidR="00711DEA" w:rsidRPr="005F604F" w:rsidTr="00711DEA">
        <w:trPr>
          <w:trHeight w:val="25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зимнему содержанию дорог </w:t>
            </w:r>
            <w:proofErr w:type="gram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согласно контракта</w:t>
            </w:r>
            <w:proofErr w:type="gramEnd"/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250040,00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12.03.14</w:t>
            </w:r>
          </w:p>
        </w:tc>
      </w:tr>
      <w:tr w:rsidR="00711DEA" w:rsidRPr="005F604F" w:rsidTr="00711DEA">
        <w:trPr>
          <w:trHeight w:val="383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338420,00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DEA" w:rsidRPr="005F604F" w:rsidTr="00711DEA">
        <w:trPr>
          <w:trHeight w:val="382"/>
        </w:trPr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28.02.2014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Подготовка площади, проведение народных гуляний «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Масленница</w:t>
            </w:r>
            <w:proofErr w:type="spell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», уборка площади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88503,00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17.04.14</w:t>
            </w:r>
          </w:p>
        </w:tc>
      </w:tr>
      <w:tr w:rsidR="00711DEA" w:rsidRPr="005F604F" w:rsidTr="00711DEA">
        <w:trPr>
          <w:trHeight w:val="25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28.02.2014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Залив катка в пос.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Цемзавода</w:t>
            </w:r>
            <w:proofErr w:type="spell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Подгоренский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42248,00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DEA" w:rsidRPr="005F604F" w:rsidTr="00711DEA">
        <w:trPr>
          <w:trHeight w:val="25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28.02.2014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Вывоз снега с Привокзальной площади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57243,00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15.04.14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28.02.2014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зимнему содержанию дорог </w:t>
            </w:r>
            <w:proofErr w:type="gram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согласно контракта</w:t>
            </w:r>
            <w:proofErr w:type="gramEnd"/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93000,00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15.04.14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280994,00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DEA" w:rsidRPr="005F604F" w:rsidTr="00711DEA"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31.03.2014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зимнему содержанию дорог </w:t>
            </w:r>
            <w:proofErr w:type="gram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согласно контракта</w:t>
            </w:r>
            <w:proofErr w:type="gramEnd"/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56987,00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30.04.14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31.03.2014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Посыпка тротуаров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противогололедной</w:t>
            </w:r>
            <w:proofErr w:type="spell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смесью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 Подгоренский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48926,00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30.04.14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105913,00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DEA" w:rsidRPr="005F604F" w:rsidTr="00711DEA"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30.04.2014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муниципальному контракту №95 от 26.05.14г.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701865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06.06.14</w:t>
            </w:r>
          </w:p>
        </w:tc>
      </w:tr>
      <w:tr w:rsidR="00711DEA" w:rsidRPr="005F604F" w:rsidTr="00711DEA">
        <w:trPr>
          <w:trHeight w:val="255"/>
        </w:trPr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31.05.2014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муниципальному </w:t>
            </w:r>
            <w:r w:rsidRPr="005F6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контракту №95 26.05.14г.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999562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20.06.2014</w:t>
            </w:r>
          </w:p>
        </w:tc>
      </w:tr>
      <w:tr w:rsidR="00711DEA" w:rsidRPr="005F604F" w:rsidTr="00711DEA"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Июнь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30.06.2014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муниципальному контракту №95 от 26.05.14г.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1088414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16.07.14г.</w:t>
            </w:r>
          </w:p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24.07.14г.</w:t>
            </w:r>
          </w:p>
        </w:tc>
      </w:tr>
      <w:tr w:rsidR="00711DEA" w:rsidRPr="005F604F" w:rsidTr="00711DEA"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31.07.2014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муниципальному контракту №102 от 02.07.14г.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650454</w:t>
            </w:r>
          </w:p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03.09.2014г.</w:t>
            </w:r>
          </w:p>
        </w:tc>
      </w:tr>
      <w:tr w:rsidR="00711DEA" w:rsidRPr="005F604F" w:rsidTr="00711DEA"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31.08.2014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муниципальному контракту №102 от 02.07.14г.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451476,00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10.10.2014г.</w:t>
            </w:r>
          </w:p>
        </w:tc>
      </w:tr>
      <w:tr w:rsidR="00711DEA" w:rsidRPr="005F604F" w:rsidTr="00711DEA">
        <w:trPr>
          <w:trHeight w:val="255"/>
        </w:trPr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муниципальному контракту №102 от 02.07.14г.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652853,00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29.10.2014г.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Октябрь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31.10.2014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муниципальному контракту №102 от 02.07.14г.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682126,00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03.12.2014г.</w:t>
            </w: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Ноябрь-Декабрь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DEA" w:rsidRPr="005F604F" w:rsidTr="00711DEA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23.12.2014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муниципальному контракту №102 от 02.07.14г.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702311,00</w:t>
            </w:r>
          </w:p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DEA" w:rsidRPr="005F604F" w:rsidTr="00711DEA">
        <w:trPr>
          <w:trHeight w:val="255"/>
        </w:trPr>
        <w:tc>
          <w:tcPr>
            <w:tcW w:w="9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EA" w:rsidRPr="005F604F" w:rsidRDefault="0071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1DEA" w:rsidRPr="005F604F" w:rsidRDefault="00711DEA" w:rsidP="00711DEA">
      <w:pPr>
        <w:rPr>
          <w:rFonts w:ascii="Times New Roman" w:hAnsi="Times New Roman" w:cs="Times New Roman"/>
          <w:sz w:val="24"/>
          <w:szCs w:val="24"/>
        </w:rPr>
      </w:pPr>
    </w:p>
    <w:p w:rsidR="005F604F" w:rsidRDefault="005F604F" w:rsidP="00711DEA">
      <w:pPr>
        <w:rPr>
          <w:rFonts w:ascii="Times New Roman" w:hAnsi="Times New Roman" w:cs="Times New Roman"/>
          <w:sz w:val="24"/>
          <w:szCs w:val="24"/>
        </w:rPr>
      </w:pPr>
    </w:p>
    <w:p w:rsidR="005F604F" w:rsidRDefault="005F604F" w:rsidP="00711DEA">
      <w:pPr>
        <w:rPr>
          <w:rFonts w:ascii="Times New Roman" w:hAnsi="Times New Roman" w:cs="Times New Roman"/>
          <w:sz w:val="24"/>
          <w:szCs w:val="24"/>
        </w:rPr>
      </w:pPr>
    </w:p>
    <w:p w:rsidR="00711DEA" w:rsidRDefault="00711DEA" w:rsidP="005F604F">
      <w:pPr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lastRenderedPageBreak/>
        <w:t>Анализ деятельности по благоустройству за 2014 год</w:t>
      </w:r>
    </w:p>
    <w:p w:rsidR="005F604F" w:rsidRPr="005F604F" w:rsidRDefault="005F604F" w:rsidP="00711DE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641"/>
        <w:gridCol w:w="4712"/>
        <w:gridCol w:w="3686"/>
      </w:tblGrid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1613,79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Запчасти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318,8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3,18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579,01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2052,75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Отчисления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629,27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283,43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Общехозяйственные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994,38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6474,61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6518,12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43,51</w:t>
            </w:r>
          </w:p>
        </w:tc>
      </w:tr>
    </w:tbl>
    <w:p w:rsidR="00711DEA" w:rsidRPr="005F604F" w:rsidRDefault="00711DEA" w:rsidP="00711DEA">
      <w:pPr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ПРОЧИЕ РАБОТЫ</w:t>
      </w:r>
    </w:p>
    <w:p w:rsidR="00711DEA" w:rsidRPr="005F604F" w:rsidRDefault="00711DEA" w:rsidP="005F604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По услуге прочие работы предприятие выполняло различные работы, услуги, не связанные с основными и регулируемыми видами деятельности.</w:t>
      </w:r>
    </w:p>
    <w:p w:rsidR="00711DEA" w:rsidRPr="005F604F" w:rsidRDefault="00711DEA" w:rsidP="005F604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Анализ деятельности по прочим работам за 2014 год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641"/>
        <w:gridCol w:w="4712"/>
        <w:gridCol w:w="3686"/>
      </w:tblGrid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Затраты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proofErr w:type="spell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196,31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Запчасти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3,34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46,05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252,92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Отчисления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76,35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99,34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Общехозяйственные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115,26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790,73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b/>
                <w:sz w:val="24"/>
                <w:szCs w:val="24"/>
              </w:rPr>
              <w:t>1561,25</w:t>
            </w:r>
          </w:p>
        </w:tc>
      </w:tr>
      <w:tr w:rsidR="00711DEA" w:rsidRPr="005F604F" w:rsidTr="005F604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EA" w:rsidRPr="005F604F" w:rsidRDefault="00711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04F">
              <w:rPr>
                <w:rFonts w:ascii="Times New Roman" w:hAnsi="Times New Roman" w:cs="Times New Roman"/>
                <w:sz w:val="24"/>
                <w:szCs w:val="24"/>
              </w:rPr>
              <w:t>770,52</w:t>
            </w:r>
          </w:p>
        </w:tc>
      </w:tr>
    </w:tbl>
    <w:p w:rsidR="00711DEA" w:rsidRDefault="00711DEA" w:rsidP="00711DEA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5F604F" w:rsidRPr="005F604F" w:rsidRDefault="005F604F" w:rsidP="00711DEA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По прочим видам услуг сложилась прибыль в размере 770,522 тыс. рублей.</w:t>
      </w:r>
    </w:p>
    <w:p w:rsidR="00711DEA" w:rsidRPr="005F604F" w:rsidRDefault="00711DEA" w:rsidP="00711DEA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5F604F" w:rsidRDefault="005F604F" w:rsidP="00711DE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ВОДОСНАБЖЕНИЕ САГУНОВСКОГО СЕЛЬСКОГО ПОСЕЛЕНИЯ.</w:t>
      </w:r>
    </w:p>
    <w:p w:rsidR="00711DEA" w:rsidRPr="005F604F" w:rsidRDefault="00711DEA" w:rsidP="00711DE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Водоснабжение Сагуновского сельского поселения осуществляется с 07.04.2014 года 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согласно договора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 xml:space="preserve"> аренды муниципального имущества №1 от 03.03.2014года, заключенного сроком на 11 месяцев.</w:t>
      </w:r>
    </w:p>
    <w:tbl>
      <w:tblPr>
        <w:tblW w:w="7371" w:type="dxa"/>
        <w:tblInd w:w="108" w:type="dxa"/>
        <w:tblLook w:val="04A0" w:firstRow="1" w:lastRow="0" w:firstColumn="1" w:lastColumn="0" w:noHBand="0" w:noVBand="1"/>
      </w:tblPr>
      <w:tblGrid>
        <w:gridCol w:w="2127"/>
        <w:gridCol w:w="1984"/>
        <w:gridCol w:w="3260"/>
      </w:tblGrid>
      <w:tr w:rsidR="00711DEA" w:rsidRPr="005F604F" w:rsidTr="005F604F">
        <w:trPr>
          <w:trHeight w:val="1446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Фактически поднято воды в 2014 году, м3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 реализовано воды в 2014 году, м3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1692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2885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2637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2873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1622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1335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1346</w:t>
            </w:r>
          </w:p>
        </w:tc>
      </w:tr>
      <w:tr w:rsidR="00711DEA" w:rsidRPr="005F604F" w:rsidTr="005F604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151547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18714</w:t>
            </w:r>
          </w:p>
        </w:tc>
      </w:tr>
    </w:tbl>
    <w:p w:rsidR="00711DEA" w:rsidRPr="005F604F" w:rsidRDefault="00711DEA" w:rsidP="00711DE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Смета расходов МКП "ПЦКУ" в сфере водоснабжения </w:t>
      </w:r>
    </w:p>
    <w:p w:rsidR="00711DEA" w:rsidRDefault="00711DEA" w:rsidP="00711DE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604F">
        <w:rPr>
          <w:rFonts w:ascii="Times New Roman" w:hAnsi="Times New Roman" w:cs="Times New Roman"/>
          <w:sz w:val="24"/>
          <w:szCs w:val="24"/>
        </w:rPr>
        <w:t>Сагуновской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сельской администрации</w:t>
      </w:r>
    </w:p>
    <w:p w:rsidR="005F604F" w:rsidRPr="005F604F" w:rsidRDefault="005F604F" w:rsidP="00711DEA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386" w:type="dxa"/>
        <w:tblInd w:w="93" w:type="dxa"/>
        <w:tblLook w:val="04A0" w:firstRow="1" w:lastRow="0" w:firstColumn="1" w:lastColumn="0" w:noHBand="0" w:noVBand="1"/>
      </w:tblPr>
      <w:tblGrid>
        <w:gridCol w:w="3845"/>
        <w:gridCol w:w="1840"/>
        <w:gridCol w:w="1701"/>
      </w:tblGrid>
      <w:tr w:rsidR="00711DEA" w:rsidRPr="005F604F" w:rsidTr="00711DEA">
        <w:trPr>
          <w:trHeight w:val="1331"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на 2014 год в тарифе (с 01.04.2014 по 01.11.2014г)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апрель-декабрь 2014г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поднято воды, м3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151547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реализовано воды, м3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18714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Израсходовано в </w:t>
            </w:r>
            <w:proofErr w:type="spell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595,52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т.ч. </w:t>
            </w:r>
            <w:proofErr w:type="spell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96,447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68,92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190,97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377,37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Отчисления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114,34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Материалы/работы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175,25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Цеховые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711DEA" w:rsidRPr="005F604F" w:rsidTr="00711DEA">
        <w:trPr>
          <w:trHeight w:val="731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производственные расходы (лицензирование)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35,07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Общехозяйственные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315,54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СЕБЕСТОИМОСТЬ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1877,5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928,23</w:t>
            </w:r>
          </w:p>
        </w:tc>
      </w:tr>
      <w:tr w:rsidR="00711DEA" w:rsidRPr="005F604F" w:rsidTr="00711DEA">
        <w:trPr>
          <w:trHeight w:val="57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РЕЗУЛЬТАТ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-949,27</w:t>
            </w:r>
          </w:p>
        </w:tc>
      </w:tr>
      <w:tr w:rsidR="00711DEA" w:rsidRPr="005F604F" w:rsidTr="00711DEA">
        <w:trPr>
          <w:trHeight w:val="300"/>
        </w:trPr>
        <w:tc>
          <w:tcPr>
            <w:tcW w:w="3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1DEA" w:rsidRPr="005F604F" w:rsidRDefault="00711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100,33</w:t>
            </w:r>
          </w:p>
        </w:tc>
      </w:tr>
    </w:tbl>
    <w:p w:rsidR="00711DEA" w:rsidRPr="005F604F" w:rsidRDefault="00711DEA" w:rsidP="00711DEA">
      <w:pPr>
        <w:spacing w:after="0" w:line="240" w:lineRule="atLeast"/>
        <w:ind w:left="142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lastRenderedPageBreak/>
        <w:t xml:space="preserve">            Учитывая, что 3 февраля 2015 года истёк срок действия договора аренды муниципального имущества, главе администрации Сагуновского сельского поселения Журавлёвой Л.А. 15.12.2014 года было направлено уведомление о расторжении. 6 февраля 2015 года  муниципальное имущество было передано администрации Сагуновского сельского поселения, о чем был подписан акт приёма-передачи. </w:t>
      </w:r>
    </w:p>
    <w:p w:rsidR="00711DEA" w:rsidRPr="005F604F" w:rsidRDefault="00711DEA" w:rsidP="005F604F">
      <w:pPr>
        <w:tabs>
          <w:tab w:val="left" w:pos="6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11DEA" w:rsidRPr="005F604F" w:rsidRDefault="00711DEA" w:rsidP="005F604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В целом за 2014 года в МКП «Подгоренский центр коммунальных услуг» остаётся нераспределённая прибыль в размере 565891,74 рублей.</w:t>
      </w:r>
    </w:p>
    <w:p w:rsidR="00711DEA" w:rsidRPr="005F604F" w:rsidRDefault="00711DEA" w:rsidP="005F60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5F60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5F604F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5F604F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5F604F"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 w:rsidRPr="005F6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DEA" w:rsidRPr="005F604F" w:rsidRDefault="00711DEA" w:rsidP="00711DE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МКП «Подгоренский центр </w:t>
      </w:r>
    </w:p>
    <w:p w:rsidR="00711DEA" w:rsidRPr="005F604F" w:rsidRDefault="00711DEA" w:rsidP="00711DE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коммунальных услуг»                                                                Диденко С.П.</w:t>
      </w:r>
    </w:p>
    <w:p w:rsidR="00711DEA" w:rsidRPr="005F604F" w:rsidRDefault="00711DEA" w:rsidP="00711DE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11DEA" w:rsidRPr="005F604F" w:rsidRDefault="00711DEA" w:rsidP="00711DE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>Исп. Кульбакина Ю.П.</w:t>
      </w:r>
    </w:p>
    <w:p w:rsidR="00711DEA" w:rsidRPr="005F604F" w:rsidRDefault="00711DEA" w:rsidP="00711D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5F604F">
        <w:rPr>
          <w:rFonts w:ascii="Times New Roman" w:hAnsi="Times New Roman" w:cs="Times New Roman"/>
          <w:sz w:val="24"/>
          <w:szCs w:val="24"/>
        </w:rPr>
        <w:t xml:space="preserve">47394 55053                                        </w:t>
      </w: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1DEA" w:rsidRPr="005F604F" w:rsidRDefault="00711DEA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E541C" w:rsidRPr="005F604F" w:rsidRDefault="00DE541C" w:rsidP="00DE541C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E541C" w:rsidRPr="005F604F" w:rsidRDefault="00DE541C" w:rsidP="00DE541C">
      <w:pPr>
        <w:rPr>
          <w:rFonts w:ascii="Times New Roman" w:hAnsi="Times New Roman" w:cs="Times New Roman"/>
          <w:sz w:val="24"/>
          <w:szCs w:val="24"/>
        </w:rPr>
      </w:pPr>
    </w:p>
    <w:p w:rsidR="00DE541C" w:rsidRPr="005F604F" w:rsidRDefault="00DE541C" w:rsidP="00DE541C">
      <w:pPr>
        <w:rPr>
          <w:rFonts w:ascii="Times New Roman" w:hAnsi="Times New Roman" w:cs="Times New Roman"/>
          <w:sz w:val="24"/>
          <w:szCs w:val="24"/>
        </w:rPr>
      </w:pPr>
    </w:p>
    <w:p w:rsidR="008A1570" w:rsidRPr="005F604F" w:rsidRDefault="008A1570">
      <w:pPr>
        <w:rPr>
          <w:rFonts w:ascii="Times New Roman" w:hAnsi="Times New Roman" w:cs="Times New Roman"/>
          <w:sz w:val="24"/>
          <w:szCs w:val="24"/>
        </w:rPr>
      </w:pPr>
    </w:p>
    <w:sectPr w:rsidR="008A1570" w:rsidRPr="005F6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1BDA"/>
    <w:multiLevelType w:val="hybridMultilevel"/>
    <w:tmpl w:val="915CF3EE"/>
    <w:lvl w:ilvl="0" w:tplc="0444E87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A552DA"/>
    <w:multiLevelType w:val="hybridMultilevel"/>
    <w:tmpl w:val="20FA6B20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D2C23F9"/>
    <w:multiLevelType w:val="hybridMultilevel"/>
    <w:tmpl w:val="F7EEF8C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31F51"/>
    <w:multiLevelType w:val="hybridMultilevel"/>
    <w:tmpl w:val="D8D2A3E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392AF3"/>
    <w:multiLevelType w:val="hybridMultilevel"/>
    <w:tmpl w:val="94FE51A6"/>
    <w:lvl w:ilvl="0" w:tplc="4BBCC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41C"/>
    <w:rsid w:val="00166E4B"/>
    <w:rsid w:val="005F604F"/>
    <w:rsid w:val="00711DEA"/>
    <w:rsid w:val="008A1570"/>
    <w:rsid w:val="00D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41C"/>
  </w:style>
  <w:style w:type="paragraph" w:styleId="3">
    <w:name w:val="heading 3"/>
    <w:basedOn w:val="a"/>
    <w:next w:val="a"/>
    <w:link w:val="30"/>
    <w:semiHidden/>
    <w:unhideWhenUsed/>
    <w:qFormat/>
    <w:rsid w:val="00711DE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41C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11DE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DEA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basedOn w:val="a0"/>
    <w:link w:val="a7"/>
    <w:locked/>
    <w:rsid w:val="00711DEA"/>
    <w:rPr>
      <w:rFonts w:ascii="Calibri" w:eastAsia="Times New Roman" w:hAnsi="Calibri" w:cs="Times New Roman"/>
    </w:rPr>
  </w:style>
  <w:style w:type="paragraph" w:styleId="a7">
    <w:name w:val="No Spacing"/>
    <w:link w:val="a6"/>
    <w:qFormat/>
    <w:rsid w:val="00711DE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711DE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styleId="a8">
    <w:name w:val="Table Grid"/>
    <w:basedOn w:val="a1"/>
    <w:uiPriority w:val="59"/>
    <w:rsid w:val="00711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41C"/>
  </w:style>
  <w:style w:type="paragraph" w:styleId="3">
    <w:name w:val="heading 3"/>
    <w:basedOn w:val="a"/>
    <w:next w:val="a"/>
    <w:link w:val="30"/>
    <w:semiHidden/>
    <w:unhideWhenUsed/>
    <w:qFormat/>
    <w:rsid w:val="00711DE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41C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11DE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DEA"/>
    <w:rPr>
      <w:rFonts w:ascii="Tahoma" w:hAnsi="Tahoma" w:cs="Tahoma"/>
      <w:sz w:val="16"/>
      <w:szCs w:val="16"/>
    </w:rPr>
  </w:style>
  <w:style w:type="character" w:customStyle="1" w:styleId="a6">
    <w:name w:val="Без интервала Знак"/>
    <w:basedOn w:val="a0"/>
    <w:link w:val="a7"/>
    <w:locked/>
    <w:rsid w:val="00711DEA"/>
    <w:rPr>
      <w:rFonts w:ascii="Calibri" w:eastAsia="Times New Roman" w:hAnsi="Calibri" w:cs="Times New Roman"/>
    </w:rPr>
  </w:style>
  <w:style w:type="paragraph" w:styleId="a7">
    <w:name w:val="No Spacing"/>
    <w:link w:val="a6"/>
    <w:qFormat/>
    <w:rsid w:val="00711DE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711DE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styleId="a8">
    <w:name w:val="Table Grid"/>
    <w:basedOn w:val="a1"/>
    <w:uiPriority w:val="59"/>
    <w:rsid w:val="00711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01058-641B-43E2-9F1E-2C475FF6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4473</Words>
  <Characters>25497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2015-04-02T04:32:00Z</cp:lastPrinted>
  <dcterms:created xsi:type="dcterms:W3CDTF">2015-03-03T07:14:00Z</dcterms:created>
  <dcterms:modified xsi:type="dcterms:W3CDTF">2015-04-02T04:35:00Z</dcterms:modified>
</cp:coreProperties>
</file>